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hint="eastAsia" w:ascii="宋体" w:hAnsi="宋体" w:eastAsia="宋体" w:cs="宋体"/>
          <w:b/>
          <w:sz w:val="44"/>
          <w:szCs w:val="44"/>
          <w:highlight w:val="none"/>
        </w:rPr>
      </w:pPr>
    </w:p>
    <w:p>
      <w:pPr>
        <w:jc w:val="center"/>
        <w:rPr>
          <w:rFonts w:hint="eastAsia" w:ascii="宋体" w:hAnsi="宋体" w:eastAsia="宋体" w:cs="宋体"/>
          <w:spacing w:val="20"/>
          <w:sz w:val="56"/>
          <w:szCs w:val="56"/>
          <w:highlight w:val="none"/>
        </w:rPr>
      </w:pPr>
    </w:p>
    <w:p>
      <w:pPr>
        <w:autoSpaceDE w:val="0"/>
        <w:autoSpaceDN w:val="0"/>
        <w:spacing w:beforeLines="50" w:afterLines="50" w:line="360" w:lineRule="auto"/>
        <w:jc w:val="center"/>
        <w:rPr>
          <w:rFonts w:hint="eastAsia" w:ascii="宋体" w:hAnsi="宋体" w:eastAsia="宋体" w:cs="宋体"/>
          <w:b/>
          <w:sz w:val="44"/>
          <w:szCs w:val="44"/>
          <w:highlight w:val="none"/>
        </w:rPr>
      </w:pPr>
      <w:r>
        <w:rPr>
          <w:rFonts w:hint="eastAsia" w:cs="宋体"/>
          <w:b/>
          <w:sz w:val="44"/>
          <w:szCs w:val="44"/>
          <w:highlight w:val="none"/>
          <w:lang w:val="en-US" w:eastAsia="zh-CN"/>
        </w:rPr>
        <w:t>菏泽职业学院校园正版化服务项目</w:t>
      </w:r>
    </w:p>
    <w:p>
      <w:pPr>
        <w:autoSpaceDE w:val="0"/>
        <w:autoSpaceDN w:val="0"/>
        <w:spacing w:beforeLines="50" w:afterLines="50" w:line="360" w:lineRule="auto"/>
        <w:jc w:val="center"/>
        <w:rPr>
          <w:rFonts w:hint="eastAsia" w:ascii="宋体" w:hAnsi="宋体" w:eastAsia="宋体" w:cs="宋体"/>
          <w:b/>
          <w:sz w:val="44"/>
          <w:szCs w:val="44"/>
          <w:highlight w:val="none"/>
          <w:lang w:val="zh-CN"/>
        </w:rPr>
      </w:pPr>
    </w:p>
    <w:p>
      <w:pPr>
        <w:autoSpaceDE w:val="0"/>
        <w:autoSpaceDN w:val="0"/>
        <w:spacing w:beforeLines="50" w:afterLines="50" w:line="360" w:lineRule="auto"/>
        <w:jc w:val="center"/>
        <w:rPr>
          <w:rFonts w:hint="eastAsia" w:ascii="宋体" w:hAnsi="宋体" w:eastAsia="宋体" w:cs="宋体"/>
          <w:b/>
          <w:sz w:val="44"/>
          <w:szCs w:val="44"/>
          <w:highlight w:val="none"/>
          <w:lang w:val="zh-CN"/>
        </w:rPr>
      </w:pPr>
      <w:r>
        <w:rPr>
          <w:rFonts w:hint="eastAsia" w:ascii="宋体" w:hAnsi="宋体" w:eastAsia="宋体" w:cs="宋体"/>
          <w:b/>
          <w:sz w:val="44"/>
          <w:szCs w:val="44"/>
          <w:highlight w:val="none"/>
          <w:lang w:val="zh-CN"/>
        </w:rPr>
        <w:t>竞争性磋商文件</w:t>
      </w:r>
    </w:p>
    <w:p>
      <w:pPr>
        <w:pStyle w:val="18"/>
        <w:spacing w:line="360" w:lineRule="auto"/>
        <w:ind w:firstLine="442" w:firstLineChars="100"/>
        <w:jc w:val="center"/>
        <w:rPr>
          <w:rFonts w:hint="eastAsia" w:ascii="宋体" w:hAnsi="宋体" w:eastAsia="宋体" w:cs="宋体"/>
          <w:b/>
          <w:bCs/>
          <w:sz w:val="44"/>
          <w:highlight w:val="none"/>
          <w:shd w:val="clear" w:color="auto" w:fill="FFFFFF"/>
        </w:rPr>
      </w:pPr>
    </w:p>
    <w:p>
      <w:pPr>
        <w:tabs>
          <w:tab w:val="center" w:pos="1376"/>
        </w:tabs>
        <w:spacing w:line="360" w:lineRule="auto"/>
        <w:jc w:val="center"/>
        <w:rPr>
          <w:rFonts w:hint="eastAsia" w:ascii="宋体" w:hAnsi="宋体" w:eastAsia="宋体" w:cs="宋体"/>
          <w:sz w:val="28"/>
          <w:highlight w:val="none"/>
        </w:rPr>
      </w:pPr>
      <w:r>
        <w:rPr>
          <w:rFonts w:hint="eastAsia" w:ascii="宋体" w:hAnsi="宋体" w:eastAsia="宋体" w:cs="宋体"/>
          <w:b/>
          <w:bCs/>
          <w:sz w:val="28"/>
          <w:highlight w:val="none"/>
          <w:shd w:val="clear" w:color="auto" w:fill="FFFFFF"/>
        </w:rPr>
        <w:t>项目编号：SDGP371700000202202000272</w:t>
      </w:r>
    </w:p>
    <w:p>
      <w:pPr>
        <w:tabs>
          <w:tab w:val="center" w:pos="1376"/>
        </w:tabs>
        <w:spacing w:line="360" w:lineRule="auto"/>
        <w:jc w:val="left"/>
        <w:rPr>
          <w:rFonts w:hint="eastAsia" w:ascii="宋体" w:hAnsi="宋体" w:eastAsia="宋体" w:cs="宋体"/>
          <w:sz w:val="24"/>
          <w:highlight w:val="none"/>
        </w:rPr>
      </w:pPr>
    </w:p>
    <w:p>
      <w:pPr>
        <w:tabs>
          <w:tab w:val="center" w:pos="1376"/>
        </w:tabs>
        <w:spacing w:line="360" w:lineRule="auto"/>
        <w:jc w:val="left"/>
        <w:rPr>
          <w:rFonts w:hint="eastAsia" w:ascii="宋体" w:hAnsi="宋体" w:eastAsia="宋体" w:cs="宋体"/>
          <w:sz w:val="24"/>
          <w:highlight w:val="none"/>
        </w:rPr>
      </w:pPr>
    </w:p>
    <w:p>
      <w:pPr>
        <w:tabs>
          <w:tab w:val="center" w:pos="1376"/>
        </w:tabs>
        <w:spacing w:line="360" w:lineRule="auto"/>
        <w:jc w:val="left"/>
        <w:rPr>
          <w:rFonts w:hint="eastAsia" w:ascii="宋体" w:hAnsi="宋体" w:eastAsia="宋体" w:cs="宋体"/>
          <w:sz w:val="24"/>
          <w:highlight w:val="none"/>
        </w:rPr>
      </w:pPr>
    </w:p>
    <w:p>
      <w:pPr>
        <w:tabs>
          <w:tab w:val="center" w:pos="1376"/>
        </w:tabs>
        <w:spacing w:line="360" w:lineRule="auto"/>
        <w:jc w:val="left"/>
        <w:rPr>
          <w:rFonts w:hint="eastAsia" w:ascii="宋体" w:hAnsi="宋体" w:eastAsia="宋体" w:cs="宋体"/>
          <w:sz w:val="24"/>
          <w:highlight w:val="none"/>
        </w:rPr>
      </w:pPr>
    </w:p>
    <w:p>
      <w:pPr>
        <w:tabs>
          <w:tab w:val="center" w:pos="1376"/>
        </w:tabs>
        <w:spacing w:line="360" w:lineRule="auto"/>
        <w:jc w:val="left"/>
        <w:rPr>
          <w:rFonts w:hint="eastAsia" w:ascii="宋体" w:hAnsi="宋体" w:eastAsia="宋体" w:cs="宋体"/>
          <w:sz w:val="24"/>
          <w:highlight w:val="none"/>
        </w:rPr>
      </w:pPr>
    </w:p>
    <w:p>
      <w:pPr>
        <w:autoSpaceDE w:val="0"/>
        <w:autoSpaceDN w:val="0"/>
        <w:adjustRightInd w:val="0"/>
        <w:spacing w:line="360" w:lineRule="auto"/>
        <w:ind w:left="960" w:leftChars="400" w:firstLine="723" w:firstLineChars="300"/>
        <w:rPr>
          <w:rFonts w:hint="eastAsia" w:ascii="宋体" w:hAnsi="宋体" w:eastAsia="宋体" w:cs="宋体"/>
          <w:b/>
          <w:bCs/>
          <w:sz w:val="24"/>
          <w:highlight w:val="none"/>
        </w:rPr>
      </w:pPr>
    </w:p>
    <w:p>
      <w:pPr>
        <w:autoSpaceDE w:val="0"/>
        <w:autoSpaceDN w:val="0"/>
        <w:adjustRightInd w:val="0"/>
        <w:spacing w:line="360" w:lineRule="auto"/>
        <w:ind w:left="960" w:leftChars="400" w:firstLine="723" w:firstLineChars="300"/>
        <w:rPr>
          <w:rFonts w:hint="eastAsia" w:ascii="宋体" w:hAnsi="宋体" w:eastAsia="宋体" w:cs="宋体"/>
          <w:b/>
          <w:bCs/>
          <w:sz w:val="24"/>
          <w:highlight w:val="none"/>
        </w:rPr>
      </w:pPr>
    </w:p>
    <w:p>
      <w:pPr>
        <w:autoSpaceDE w:val="0"/>
        <w:autoSpaceDN w:val="0"/>
        <w:adjustRightInd w:val="0"/>
        <w:spacing w:line="360" w:lineRule="auto"/>
        <w:ind w:left="960" w:leftChars="400" w:firstLine="1124" w:firstLineChars="400"/>
        <w:rPr>
          <w:rFonts w:hint="eastAsia" w:ascii="宋体" w:hAnsi="宋体" w:eastAsia="宋体" w:cs="宋体"/>
          <w:b/>
          <w:bCs/>
          <w:sz w:val="28"/>
          <w:highlight w:val="none"/>
          <w:u w:val="single"/>
          <w:lang w:val="zh-CN"/>
        </w:rPr>
      </w:pPr>
      <w:r>
        <w:rPr>
          <w:rFonts w:hint="eastAsia" w:ascii="宋体" w:hAnsi="宋体" w:eastAsia="宋体" w:cs="宋体"/>
          <w:b/>
          <w:bCs/>
          <w:sz w:val="28"/>
          <w:highlight w:val="none"/>
        </w:rPr>
        <w:t xml:space="preserve">采   购   </w:t>
      </w:r>
      <w:r>
        <w:rPr>
          <w:rFonts w:hint="eastAsia" w:ascii="宋体" w:hAnsi="宋体" w:eastAsia="宋体" w:cs="宋体"/>
          <w:b/>
          <w:bCs/>
          <w:sz w:val="28"/>
          <w:highlight w:val="none"/>
          <w:lang w:val="zh-CN"/>
        </w:rPr>
        <w:t>人：</w:t>
      </w:r>
      <w:r>
        <w:rPr>
          <w:rFonts w:hint="eastAsia" w:cs="宋体"/>
          <w:b/>
          <w:bCs/>
          <w:sz w:val="28"/>
          <w:highlight w:val="none"/>
          <w:lang w:val="zh-CN"/>
        </w:rPr>
        <w:t>菏泽职业学院</w:t>
      </w:r>
    </w:p>
    <w:p>
      <w:pPr>
        <w:autoSpaceDE w:val="0"/>
        <w:autoSpaceDN w:val="0"/>
        <w:adjustRightInd w:val="0"/>
        <w:spacing w:line="360" w:lineRule="auto"/>
        <w:ind w:left="960" w:leftChars="400" w:firstLine="1124" w:firstLineChars="400"/>
        <w:rPr>
          <w:rFonts w:hint="eastAsia" w:ascii="宋体" w:hAnsi="宋体" w:eastAsia="宋体" w:cs="宋体"/>
          <w:b/>
          <w:bCs/>
          <w:sz w:val="28"/>
          <w:szCs w:val="22"/>
          <w:highlight w:val="none"/>
          <w:lang w:val="zh-CN"/>
        </w:rPr>
      </w:pPr>
      <w:r>
        <w:rPr>
          <w:rFonts w:hint="eastAsia" w:ascii="宋体" w:hAnsi="宋体" w:eastAsia="宋体" w:cs="宋体"/>
          <w:b/>
          <w:bCs/>
          <w:sz w:val="28"/>
          <w:szCs w:val="22"/>
          <w:highlight w:val="none"/>
          <w:lang w:val="zh-CN"/>
        </w:rPr>
        <w:t>采购代理机构</w:t>
      </w:r>
      <w:r>
        <w:rPr>
          <w:rFonts w:hint="eastAsia" w:ascii="宋体" w:hAnsi="宋体" w:eastAsia="宋体" w:cs="宋体"/>
          <w:b/>
          <w:bCs/>
          <w:sz w:val="32"/>
          <w:highlight w:val="none"/>
          <w:lang w:val="zh-CN"/>
        </w:rPr>
        <w:t>：</w:t>
      </w:r>
      <w:r>
        <w:rPr>
          <w:rFonts w:hint="eastAsia" w:ascii="宋体" w:hAnsi="宋体" w:eastAsia="宋体" w:cs="宋体"/>
          <w:b/>
          <w:bCs/>
          <w:sz w:val="28"/>
          <w:highlight w:val="none"/>
          <w:lang w:val="zh-CN"/>
        </w:rPr>
        <w:t>泰安市建科建设项目管理有限公司</w:t>
      </w:r>
    </w:p>
    <w:p>
      <w:pPr>
        <w:autoSpaceDE w:val="0"/>
        <w:autoSpaceDN w:val="0"/>
        <w:adjustRightInd w:val="0"/>
        <w:spacing w:line="360" w:lineRule="auto"/>
        <w:ind w:left="960" w:leftChars="400" w:firstLine="1124" w:firstLineChars="400"/>
        <w:rPr>
          <w:rFonts w:hint="eastAsia" w:ascii="宋体" w:hAnsi="宋体" w:eastAsia="宋体" w:cs="宋体"/>
          <w:b/>
          <w:bCs/>
          <w:sz w:val="28"/>
          <w:highlight w:val="none"/>
        </w:rPr>
        <w:sectPr>
          <w:headerReference r:id="rId6" w:type="first"/>
          <w:headerReference r:id="rId5" w:type="default"/>
          <w:footerReference r:id="rId7" w:type="default"/>
          <w:pgSz w:w="11906" w:h="16838"/>
          <w:pgMar w:top="1440" w:right="1417" w:bottom="1440" w:left="1417" w:header="851" w:footer="1040" w:gutter="0"/>
          <w:cols w:space="720" w:num="1"/>
          <w:docGrid w:type="lines" w:linePitch="312" w:charSpace="0"/>
        </w:sectPr>
      </w:pPr>
      <w:r>
        <w:rPr>
          <w:rFonts w:hint="eastAsia" w:ascii="宋体" w:hAnsi="宋体" w:eastAsia="宋体" w:cs="宋体"/>
          <w:b/>
          <w:bCs/>
          <w:sz w:val="28"/>
          <w:highlight w:val="none"/>
        </w:rPr>
        <w:t>日        期：二〇二</w:t>
      </w:r>
      <w:r>
        <w:rPr>
          <w:rFonts w:hint="eastAsia" w:cs="宋体"/>
          <w:b/>
          <w:bCs/>
          <w:sz w:val="28"/>
          <w:highlight w:val="none"/>
          <w:lang w:val="en-US" w:eastAsia="zh-CN"/>
        </w:rPr>
        <w:t>二</w:t>
      </w:r>
      <w:r>
        <w:rPr>
          <w:rFonts w:hint="eastAsia" w:ascii="宋体" w:hAnsi="宋体" w:eastAsia="宋体" w:cs="宋体"/>
          <w:b/>
          <w:bCs/>
          <w:sz w:val="28"/>
          <w:highlight w:val="none"/>
        </w:rPr>
        <w:t>年</w:t>
      </w:r>
      <w:r>
        <w:rPr>
          <w:rFonts w:hint="eastAsia" w:cs="宋体"/>
          <w:b/>
          <w:bCs/>
          <w:sz w:val="28"/>
          <w:highlight w:val="none"/>
          <w:lang w:val="en-US" w:eastAsia="zh-CN"/>
        </w:rPr>
        <w:t>十一</w:t>
      </w:r>
      <w:r>
        <w:rPr>
          <w:rFonts w:hint="eastAsia" w:ascii="宋体" w:hAnsi="宋体" w:eastAsia="宋体" w:cs="宋体"/>
          <w:b/>
          <w:bCs/>
          <w:sz w:val="28"/>
          <w:highlight w:val="none"/>
        </w:rPr>
        <w:t>月</w:t>
      </w:r>
    </w:p>
    <w:p>
      <w:pPr>
        <w:spacing w:line="360" w:lineRule="auto"/>
        <w:jc w:val="center"/>
        <w:rPr>
          <w:rFonts w:hint="eastAsia" w:ascii="宋体" w:hAnsi="宋体" w:eastAsia="宋体" w:cs="宋体"/>
          <w:sz w:val="32"/>
          <w:szCs w:val="40"/>
          <w:highlight w:val="none"/>
        </w:rPr>
      </w:pPr>
    </w:p>
    <w:sdt>
      <w:sdtPr>
        <w:rPr>
          <w:rFonts w:hint="eastAsia" w:ascii="宋体" w:hAnsi="宋体" w:eastAsia="宋体" w:cs="宋体"/>
          <w:sz w:val="22"/>
          <w:szCs w:val="28"/>
          <w:highlight w:val="none"/>
        </w:rPr>
        <w:id w:val="147469756"/>
        <w:docPartObj>
          <w:docPartGallery w:val="Table of Contents"/>
          <w:docPartUnique/>
        </w:docPartObj>
      </w:sdtPr>
      <w:sdtEndPr>
        <w:rPr>
          <w:rFonts w:hint="eastAsia" w:ascii="宋体" w:hAnsi="宋体" w:eastAsia="宋体" w:cs="宋体"/>
          <w:bCs/>
          <w:sz w:val="21"/>
          <w:szCs w:val="36"/>
          <w:highlight w:val="none"/>
        </w:rPr>
      </w:sdtEndPr>
      <w:sdtContent>
        <w:p>
          <w:pPr>
            <w:spacing w:line="360" w:lineRule="auto"/>
            <w:jc w:val="center"/>
            <w:rPr>
              <w:rFonts w:hint="eastAsia" w:ascii="宋体" w:hAnsi="宋体" w:eastAsia="宋体" w:cs="宋体"/>
              <w:sz w:val="22"/>
              <w:szCs w:val="28"/>
              <w:highlight w:val="none"/>
            </w:rPr>
          </w:pPr>
          <w:r>
            <w:rPr>
              <w:rFonts w:hint="eastAsia" w:ascii="宋体" w:hAnsi="宋体" w:eastAsia="宋体" w:cs="宋体"/>
              <w:sz w:val="22"/>
              <w:szCs w:val="28"/>
              <w:highlight w:val="none"/>
            </w:rPr>
            <w:t>目录</w:t>
          </w:r>
        </w:p>
        <w:p>
          <w:pPr>
            <w:pStyle w:val="16"/>
            <w:tabs>
              <w:tab w:val="right" w:leader="dot" w:pos="10070"/>
            </w:tabs>
            <w:spacing w:line="360" w:lineRule="auto"/>
            <w:rPr>
              <w:rFonts w:hint="eastAsia" w:ascii="宋体" w:hAnsi="宋体" w:eastAsia="宋体" w:cs="宋体"/>
              <w:highlight w:val="none"/>
            </w:rPr>
          </w:pPr>
          <w:r>
            <w:rPr>
              <w:rFonts w:hint="eastAsia" w:ascii="宋体" w:hAnsi="宋体" w:eastAsia="宋体" w:cs="宋体"/>
              <w:b/>
              <w:bCs/>
              <w:szCs w:val="40"/>
              <w:highlight w:val="none"/>
            </w:rPr>
            <w:fldChar w:fldCharType="begin"/>
          </w:r>
          <w:r>
            <w:rPr>
              <w:rFonts w:hint="eastAsia" w:ascii="宋体" w:hAnsi="宋体" w:eastAsia="宋体" w:cs="宋体"/>
              <w:b/>
              <w:bCs/>
              <w:szCs w:val="40"/>
              <w:highlight w:val="none"/>
            </w:rPr>
            <w:instrText xml:space="preserve">TOC \o "1-1" \h \u </w:instrText>
          </w:r>
          <w:r>
            <w:rPr>
              <w:rFonts w:hint="eastAsia" w:ascii="宋体" w:hAnsi="宋体" w:eastAsia="宋体" w:cs="宋体"/>
              <w:b/>
              <w:bCs/>
              <w:szCs w:val="40"/>
              <w:highlight w:val="none"/>
            </w:rPr>
            <w:fldChar w:fldCharType="separate"/>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"_Toc20454" </w:instrText>
          </w:r>
          <w:r>
            <w:rPr>
              <w:rFonts w:hint="eastAsia" w:ascii="宋体" w:hAnsi="宋体" w:eastAsia="宋体" w:cs="宋体"/>
              <w:highlight w:val="none"/>
            </w:rPr>
            <w:fldChar w:fldCharType="separate"/>
          </w:r>
          <w:r>
            <w:rPr>
              <w:rFonts w:hint="eastAsia" w:ascii="宋体" w:hAnsi="宋体" w:eastAsia="宋体" w:cs="宋体"/>
              <w:highlight w:val="none"/>
            </w:rPr>
            <w:t>第一章 竞争性磋商公告</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_Toc20454 \h </w:instrText>
          </w:r>
          <w:r>
            <w:rPr>
              <w:rFonts w:hint="eastAsia" w:ascii="宋体" w:hAnsi="宋体" w:eastAsia="宋体" w:cs="宋体"/>
              <w:highlight w:val="none"/>
            </w:rPr>
            <w:fldChar w:fldCharType="separate"/>
          </w:r>
          <w:r>
            <w:rPr>
              <w:rFonts w:hint="eastAsia" w:ascii="宋体" w:hAnsi="宋体" w:eastAsia="宋体" w:cs="宋体"/>
              <w:highlight w:val="none"/>
            </w:rPr>
            <w:t>1</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16"/>
            <w:tabs>
              <w:tab w:val="right" w:leader="dot" w:pos="10070"/>
            </w:tabs>
            <w:spacing w:line="360" w:lineRule="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"_Toc20132" </w:instrText>
          </w:r>
          <w:r>
            <w:rPr>
              <w:rFonts w:hint="eastAsia" w:ascii="宋体" w:hAnsi="宋体" w:eastAsia="宋体" w:cs="宋体"/>
              <w:highlight w:val="none"/>
            </w:rPr>
            <w:fldChar w:fldCharType="separate"/>
          </w:r>
          <w:r>
            <w:rPr>
              <w:rFonts w:hint="eastAsia" w:ascii="宋体" w:hAnsi="宋体" w:eastAsia="宋体" w:cs="宋体"/>
              <w:szCs w:val="36"/>
              <w:highlight w:val="none"/>
            </w:rPr>
            <w:t>第二章 供应商须知</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_Toc20132 \h </w:instrText>
          </w:r>
          <w:r>
            <w:rPr>
              <w:rFonts w:hint="eastAsia" w:ascii="宋体" w:hAnsi="宋体" w:eastAsia="宋体" w:cs="宋体"/>
              <w:highlight w:val="none"/>
            </w:rPr>
            <w:fldChar w:fldCharType="separate"/>
          </w:r>
          <w:r>
            <w:rPr>
              <w:rFonts w:hint="eastAsia" w:ascii="宋体" w:hAnsi="宋体" w:eastAsia="宋体" w:cs="宋体"/>
              <w:highlight w:val="none"/>
            </w:rPr>
            <w:t>5</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16"/>
            <w:tabs>
              <w:tab w:val="right" w:leader="dot" w:pos="10070"/>
            </w:tabs>
            <w:spacing w:line="360" w:lineRule="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"_Toc11721" </w:instrText>
          </w:r>
          <w:r>
            <w:rPr>
              <w:rFonts w:hint="eastAsia" w:ascii="宋体" w:hAnsi="宋体" w:eastAsia="宋体" w:cs="宋体"/>
              <w:highlight w:val="none"/>
            </w:rPr>
            <w:fldChar w:fldCharType="separate"/>
          </w:r>
          <w:r>
            <w:rPr>
              <w:rFonts w:hint="eastAsia" w:ascii="宋体" w:hAnsi="宋体" w:eastAsia="宋体" w:cs="宋体"/>
              <w:szCs w:val="36"/>
              <w:highlight w:val="none"/>
            </w:rPr>
            <w:t>第三章 竞争性磋商办法</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_Toc11721 \h </w:instrText>
          </w:r>
          <w:r>
            <w:rPr>
              <w:rFonts w:hint="eastAsia" w:ascii="宋体" w:hAnsi="宋体" w:eastAsia="宋体" w:cs="宋体"/>
              <w:highlight w:val="none"/>
            </w:rPr>
            <w:fldChar w:fldCharType="separate"/>
          </w:r>
          <w:r>
            <w:rPr>
              <w:rFonts w:hint="eastAsia" w:ascii="宋体" w:hAnsi="宋体" w:eastAsia="宋体" w:cs="宋体"/>
              <w:highlight w:val="none"/>
            </w:rPr>
            <w:t>25</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16"/>
            <w:tabs>
              <w:tab w:val="right" w:leader="dot" w:pos="10070"/>
            </w:tabs>
            <w:spacing w:line="360" w:lineRule="auto"/>
            <w:rPr>
              <w:rFonts w:hint="eastAsia" w:ascii="宋体" w:hAnsi="宋体" w:eastAsia="宋体" w:cs="宋体"/>
              <w:bCs/>
              <w:szCs w:val="40"/>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"_Toc20911" </w:instrText>
          </w:r>
          <w:r>
            <w:rPr>
              <w:rFonts w:hint="eastAsia" w:ascii="宋体" w:hAnsi="宋体" w:eastAsia="宋体" w:cs="宋体"/>
              <w:highlight w:val="none"/>
            </w:rPr>
            <w:fldChar w:fldCharType="separate"/>
          </w:r>
          <w:r>
            <w:rPr>
              <w:rFonts w:hint="eastAsia" w:ascii="宋体" w:hAnsi="宋体" w:eastAsia="宋体" w:cs="宋体"/>
              <w:szCs w:val="36"/>
              <w:highlight w:val="none"/>
            </w:rPr>
            <w:t>第四章 合同条款</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_Toc20911 \h </w:instrText>
          </w:r>
          <w:r>
            <w:rPr>
              <w:rFonts w:hint="eastAsia" w:ascii="宋体" w:hAnsi="宋体" w:eastAsia="宋体" w:cs="宋体"/>
              <w:highlight w:val="none"/>
            </w:rPr>
            <w:fldChar w:fldCharType="separate"/>
          </w:r>
          <w:r>
            <w:rPr>
              <w:rFonts w:hint="eastAsia" w:ascii="宋体" w:hAnsi="宋体" w:eastAsia="宋体" w:cs="宋体"/>
              <w:highlight w:val="none"/>
            </w:rPr>
            <w:t>31</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16"/>
            <w:tabs>
              <w:tab w:val="right" w:leader="dot" w:pos="10070"/>
            </w:tabs>
            <w:spacing w:line="360" w:lineRule="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"_Toc26539" </w:instrText>
          </w:r>
          <w:r>
            <w:rPr>
              <w:rFonts w:hint="eastAsia" w:ascii="宋体" w:hAnsi="宋体" w:eastAsia="宋体" w:cs="宋体"/>
              <w:highlight w:val="none"/>
            </w:rPr>
            <w:fldChar w:fldCharType="separate"/>
          </w:r>
          <w:r>
            <w:rPr>
              <w:rStyle w:val="26"/>
              <w:rFonts w:hint="eastAsia" w:ascii="宋体" w:hAnsi="宋体" w:eastAsia="宋体" w:cs="宋体"/>
              <w:szCs w:val="36"/>
              <w:highlight w:val="none"/>
            </w:rPr>
            <w:t>第五章 项目技术服务内容及工作量清单</w:t>
          </w:r>
          <w:r>
            <w:rPr>
              <w:rStyle w:val="26"/>
              <w:rFonts w:hint="eastAsia" w:ascii="宋体" w:hAnsi="宋体" w:eastAsia="宋体" w:cs="宋体"/>
              <w:highlight w:val="none"/>
            </w:rPr>
            <w:tab/>
          </w:r>
          <w:r>
            <w:rPr>
              <w:rStyle w:val="26"/>
              <w:rFonts w:hint="eastAsia" w:ascii="宋体" w:hAnsi="宋体" w:eastAsia="宋体" w:cs="宋体"/>
              <w:highlight w:val="none"/>
            </w:rPr>
            <w:t>29</w:t>
          </w:r>
          <w:r>
            <w:rPr>
              <w:rStyle w:val="26"/>
              <w:rFonts w:hint="eastAsia" w:ascii="宋体" w:hAnsi="宋体" w:eastAsia="宋体" w:cs="宋体"/>
              <w:highlight w:val="none"/>
            </w:rPr>
            <w:fldChar w:fldCharType="end"/>
          </w:r>
        </w:p>
        <w:p>
          <w:pPr>
            <w:pStyle w:val="16"/>
            <w:tabs>
              <w:tab w:val="right" w:leader="dot" w:pos="10070"/>
            </w:tabs>
            <w:spacing w:line="360" w:lineRule="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"_Toc26539" </w:instrText>
          </w:r>
          <w:r>
            <w:rPr>
              <w:rFonts w:hint="eastAsia" w:ascii="宋体" w:hAnsi="宋体" w:eastAsia="宋体" w:cs="宋体"/>
              <w:highlight w:val="none"/>
            </w:rPr>
            <w:fldChar w:fldCharType="separate"/>
          </w:r>
          <w:r>
            <w:rPr>
              <w:rFonts w:hint="eastAsia" w:ascii="宋体" w:hAnsi="宋体" w:eastAsia="宋体" w:cs="宋体"/>
              <w:szCs w:val="36"/>
              <w:highlight w:val="none"/>
            </w:rPr>
            <w:t>第六章 响应文件格式</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_Toc26539 \h </w:instrText>
          </w:r>
          <w:r>
            <w:rPr>
              <w:rFonts w:hint="eastAsia" w:ascii="宋体" w:hAnsi="宋体" w:eastAsia="宋体" w:cs="宋体"/>
              <w:highlight w:val="none"/>
            </w:rPr>
            <w:fldChar w:fldCharType="separate"/>
          </w:r>
          <w:r>
            <w:rPr>
              <w:rFonts w:hint="eastAsia" w:ascii="宋体" w:hAnsi="宋体" w:eastAsia="宋体" w:cs="宋体"/>
              <w:highlight w:val="none"/>
            </w:rPr>
            <w:t>41</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spacing w:line="360" w:lineRule="auto"/>
            <w:jc w:val="center"/>
            <w:rPr>
              <w:rFonts w:hint="eastAsia" w:ascii="宋体" w:hAnsi="宋体" w:eastAsia="宋体" w:cs="宋体"/>
              <w:b/>
              <w:bCs/>
              <w:szCs w:val="36"/>
              <w:highlight w:val="none"/>
            </w:rPr>
          </w:pPr>
          <w:r>
            <w:rPr>
              <w:rFonts w:hint="eastAsia" w:ascii="宋体" w:hAnsi="宋体" w:eastAsia="宋体" w:cs="宋体"/>
              <w:bCs/>
              <w:szCs w:val="40"/>
              <w:highlight w:val="none"/>
            </w:rPr>
            <w:fldChar w:fldCharType="end"/>
          </w:r>
        </w:p>
      </w:sdtContent>
    </w:sdt>
    <w:p>
      <w:pPr>
        <w:pStyle w:val="8"/>
        <w:rPr>
          <w:rFonts w:hint="eastAsia" w:ascii="宋体" w:hAnsi="宋体" w:eastAsia="宋体" w:cs="宋体"/>
          <w:b/>
          <w:bCs/>
          <w:szCs w:val="36"/>
          <w:highlight w:val="none"/>
        </w:rPr>
      </w:pPr>
    </w:p>
    <w:p>
      <w:pPr>
        <w:pStyle w:val="17"/>
        <w:rPr>
          <w:rFonts w:hint="eastAsia" w:ascii="宋体" w:hAnsi="宋体" w:eastAsia="宋体" w:cs="宋体"/>
          <w:b/>
          <w:bCs/>
          <w:szCs w:val="36"/>
          <w:highlight w:val="none"/>
        </w:rPr>
      </w:pPr>
    </w:p>
    <w:p>
      <w:pPr>
        <w:pStyle w:val="17"/>
        <w:rPr>
          <w:rFonts w:hint="eastAsia" w:ascii="宋体" w:hAnsi="宋体" w:eastAsia="宋体" w:cs="宋体"/>
          <w:b/>
          <w:bCs/>
          <w:szCs w:val="36"/>
          <w:highlight w:val="none"/>
        </w:rPr>
      </w:pPr>
    </w:p>
    <w:p>
      <w:pPr>
        <w:pStyle w:val="17"/>
        <w:rPr>
          <w:rFonts w:hint="eastAsia" w:ascii="宋体" w:hAnsi="宋体" w:eastAsia="宋体" w:cs="宋体"/>
          <w:b/>
          <w:bCs/>
          <w:szCs w:val="36"/>
          <w:highlight w:val="none"/>
        </w:rPr>
      </w:pPr>
    </w:p>
    <w:p>
      <w:pPr>
        <w:pStyle w:val="17"/>
        <w:rPr>
          <w:rFonts w:hint="eastAsia" w:ascii="宋体" w:hAnsi="宋体" w:eastAsia="宋体" w:cs="宋体"/>
          <w:b/>
          <w:bCs/>
          <w:szCs w:val="36"/>
          <w:highlight w:val="none"/>
        </w:rPr>
      </w:pPr>
    </w:p>
    <w:p>
      <w:pPr>
        <w:pStyle w:val="17"/>
        <w:rPr>
          <w:rFonts w:hint="eastAsia" w:ascii="宋体" w:hAnsi="宋体" w:eastAsia="宋体" w:cs="宋体"/>
          <w:b/>
          <w:bCs/>
          <w:szCs w:val="36"/>
          <w:highlight w:val="none"/>
        </w:rPr>
      </w:pPr>
    </w:p>
    <w:p>
      <w:pPr>
        <w:pStyle w:val="17"/>
        <w:rPr>
          <w:rFonts w:hint="eastAsia" w:ascii="宋体" w:hAnsi="宋体" w:eastAsia="宋体" w:cs="宋体"/>
          <w:b/>
          <w:bCs/>
          <w:szCs w:val="36"/>
          <w:highlight w:val="none"/>
        </w:rPr>
      </w:pPr>
    </w:p>
    <w:p>
      <w:pPr>
        <w:pStyle w:val="17"/>
        <w:rPr>
          <w:rFonts w:hint="eastAsia" w:ascii="宋体" w:hAnsi="宋体" w:eastAsia="宋体" w:cs="宋体"/>
          <w:b/>
          <w:bCs/>
          <w:szCs w:val="36"/>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pStyle w:val="3"/>
        <w:numPr>
          <w:ilvl w:val="0"/>
          <w:numId w:val="2"/>
        </w:numPr>
        <w:spacing w:beforeLines="50" w:afterLines="50"/>
        <w:rPr>
          <w:rFonts w:hint="eastAsia" w:ascii="宋体" w:hAnsi="宋体" w:eastAsia="宋体" w:cs="宋体"/>
          <w:highlight w:val="none"/>
        </w:rPr>
        <w:sectPr>
          <w:pgSz w:w="11910" w:h="16840"/>
          <w:pgMar w:top="1520" w:right="680" w:bottom="1420" w:left="1160" w:header="0" w:footer="1214" w:gutter="0"/>
          <w:cols w:space="720" w:num="1"/>
        </w:sectPr>
      </w:pPr>
      <w:bookmarkStart w:id="0" w:name="_Toc16676"/>
      <w:bookmarkStart w:id="1" w:name="_Toc16024"/>
      <w:bookmarkStart w:id="2" w:name="_Toc8726"/>
    </w:p>
    <w:p>
      <w:pPr>
        <w:pStyle w:val="3"/>
        <w:numPr>
          <w:ilvl w:val="0"/>
          <w:numId w:val="2"/>
        </w:numPr>
        <w:spacing w:beforeLines="50" w:afterLines="50" w:line="360" w:lineRule="auto"/>
        <w:rPr>
          <w:rFonts w:hint="eastAsia" w:ascii="宋体" w:hAnsi="宋体" w:eastAsia="宋体" w:cs="宋体"/>
          <w:highlight w:val="none"/>
        </w:rPr>
      </w:pPr>
      <w:bookmarkStart w:id="3" w:name="_Toc20454"/>
      <w:r>
        <w:rPr>
          <w:rFonts w:hint="eastAsia" w:ascii="宋体" w:hAnsi="宋体" w:eastAsia="宋体" w:cs="宋体"/>
          <w:highlight w:val="none"/>
        </w:rPr>
        <w:t>竞争性磋商公告</w:t>
      </w:r>
      <w:bookmarkEnd w:id="0"/>
      <w:bookmarkEnd w:id="1"/>
      <w:bookmarkEnd w:id="2"/>
      <w:bookmarkEnd w:id="3"/>
    </w:p>
    <w:p>
      <w:pPr>
        <w:spacing w:line="408" w:lineRule="auto"/>
        <w:ind w:firstLine="410" w:firstLineChars="171"/>
        <w:rPr>
          <w:rFonts w:hint="eastAsia" w:cs="宋体"/>
          <w:b w:val="0"/>
          <w:bCs/>
          <w:kern w:val="0"/>
          <w:sz w:val="24"/>
          <w:szCs w:val="24"/>
          <w:highlight w:val="none"/>
          <w:lang w:val="en-US" w:eastAsia="zh-CN"/>
        </w:rPr>
      </w:pPr>
      <w:r>
        <w:rPr>
          <w:rFonts w:hint="eastAsia" w:cs="宋体"/>
          <w:b w:val="0"/>
          <w:bCs/>
          <w:kern w:val="0"/>
          <w:sz w:val="24"/>
          <w:szCs w:val="24"/>
          <w:highlight w:val="none"/>
          <w:lang w:val="en-US" w:eastAsia="zh-CN"/>
        </w:rPr>
        <w:t>项目概况：</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9" w:hRule="atLeast"/>
        </w:trPr>
        <w:tc>
          <w:tcPr>
            <w:tcW w:w="9876" w:type="dxa"/>
          </w:tcPr>
          <w:p>
            <w:pPr>
              <w:spacing w:line="408" w:lineRule="auto"/>
              <w:ind w:firstLine="410" w:firstLineChars="171"/>
              <w:rPr>
                <w:rFonts w:hint="eastAsia" w:ascii="宋体" w:hAnsi="宋体" w:eastAsia="宋体" w:cs="宋体"/>
                <w:sz w:val="22"/>
                <w:szCs w:val="22"/>
                <w:highlight w:val="none"/>
              </w:rPr>
            </w:pPr>
            <w:r>
              <w:rPr>
                <w:rFonts w:hint="eastAsia" w:cs="宋体"/>
                <w:b w:val="0"/>
                <w:bCs/>
                <w:kern w:val="0"/>
                <w:sz w:val="24"/>
                <w:szCs w:val="24"/>
                <w:highlight w:val="none"/>
                <w:lang w:val="en-US" w:eastAsia="zh-CN"/>
              </w:rPr>
              <w:t>菏泽职业学院校园正版化服务项目</w:t>
            </w:r>
            <w:r>
              <w:rPr>
                <w:rFonts w:hint="eastAsia" w:ascii="宋体" w:hAnsi="宋体" w:eastAsia="宋体" w:cs="宋体"/>
                <w:b w:val="0"/>
                <w:bCs/>
                <w:kern w:val="0"/>
                <w:sz w:val="24"/>
                <w:szCs w:val="24"/>
                <w:highlight w:val="none"/>
                <w:lang w:val="en-US" w:eastAsia="zh-CN"/>
              </w:rPr>
              <w:t>的潜在供应商请登录山东省政府采购网、菏泽市政府采购公共服务平台、</w:t>
            </w:r>
            <w:r>
              <w:rPr>
                <w:rFonts w:hint="eastAsia" w:cs="宋体"/>
                <w:b w:val="0"/>
                <w:bCs/>
                <w:kern w:val="0"/>
                <w:sz w:val="24"/>
                <w:szCs w:val="24"/>
                <w:highlight w:val="none"/>
                <w:lang w:val="en-US" w:eastAsia="zh-CN"/>
              </w:rPr>
              <w:t>菏泽职业学院官网、</w:t>
            </w:r>
            <w:r>
              <w:rPr>
                <w:rFonts w:hint="eastAsia" w:ascii="宋体" w:hAnsi="宋体" w:eastAsia="宋体" w:cs="宋体"/>
                <w:b w:val="0"/>
                <w:bCs/>
                <w:kern w:val="0"/>
                <w:sz w:val="24"/>
                <w:szCs w:val="24"/>
                <w:highlight w:val="none"/>
                <w:lang w:val="en-US" w:eastAsia="zh-CN"/>
              </w:rPr>
              <w:t>赢标电子招投标交易平台http://hz.fzbidding.com/home获取采购文件，并于2022年</w:t>
            </w:r>
            <w:r>
              <w:rPr>
                <w:rFonts w:hint="eastAsia" w:cs="宋体"/>
                <w:b w:val="0"/>
                <w:bCs/>
                <w:kern w:val="0"/>
                <w:sz w:val="24"/>
                <w:szCs w:val="24"/>
                <w:highlight w:val="none"/>
                <w:lang w:val="en-US" w:eastAsia="zh-CN"/>
              </w:rPr>
              <w:t>11</w:t>
            </w:r>
            <w:r>
              <w:rPr>
                <w:rFonts w:hint="eastAsia" w:ascii="宋体" w:hAnsi="宋体" w:eastAsia="宋体" w:cs="宋体"/>
                <w:b w:val="0"/>
                <w:bCs/>
                <w:kern w:val="0"/>
                <w:sz w:val="24"/>
                <w:szCs w:val="24"/>
                <w:highlight w:val="none"/>
                <w:lang w:val="en-US" w:eastAsia="zh-CN"/>
              </w:rPr>
              <w:t>月</w:t>
            </w:r>
            <w:r>
              <w:rPr>
                <w:rFonts w:hint="eastAsia" w:cs="宋体"/>
                <w:b w:val="0"/>
                <w:bCs/>
                <w:kern w:val="0"/>
                <w:sz w:val="24"/>
                <w:szCs w:val="24"/>
                <w:highlight w:val="none"/>
                <w:lang w:val="en-US" w:eastAsia="zh-CN"/>
              </w:rPr>
              <w:t>15</w:t>
            </w:r>
            <w:r>
              <w:rPr>
                <w:rFonts w:hint="eastAsia" w:ascii="宋体" w:hAnsi="宋体" w:eastAsia="宋体" w:cs="宋体"/>
                <w:b w:val="0"/>
                <w:bCs/>
                <w:kern w:val="0"/>
                <w:sz w:val="24"/>
                <w:szCs w:val="24"/>
                <w:highlight w:val="none"/>
                <w:lang w:val="en-US" w:eastAsia="zh-CN"/>
              </w:rPr>
              <w:t>日09:30分（北京时间）前提交响应文件。</w:t>
            </w:r>
          </w:p>
        </w:tc>
      </w:tr>
    </w:tbl>
    <w:p>
      <w:pPr>
        <w:spacing w:line="408"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一、项目基本情况：</w:t>
      </w:r>
      <w:r>
        <w:rPr>
          <w:rFonts w:hint="eastAsia" w:ascii="宋体" w:hAnsi="宋体" w:eastAsia="宋体" w:cs="宋体"/>
          <w:sz w:val="22"/>
          <w:szCs w:val="22"/>
          <w:highlight w:val="none"/>
        </w:rPr>
        <w:tab/>
      </w:r>
    </w:p>
    <w:p>
      <w:pPr>
        <w:keepNext w:val="0"/>
        <w:keepLines w:val="0"/>
        <w:pageBreakBefore w:val="0"/>
        <w:widowControl w:val="0"/>
        <w:kinsoku/>
        <w:wordWrap/>
        <w:overflowPunct/>
        <w:topLinePunct w:val="0"/>
        <w:autoSpaceDE/>
        <w:autoSpaceDN/>
        <w:bidi w:val="0"/>
        <w:adjustRightInd/>
        <w:snapToGrid/>
        <w:spacing w:line="384" w:lineRule="auto"/>
        <w:ind w:left="480" w:hanging="440" w:hangingChars="200"/>
        <w:textAlignment w:val="auto"/>
        <w:rPr>
          <w:rFonts w:hint="default" w:ascii="宋体" w:hAnsi="宋体" w:eastAsia="宋体" w:cs="宋体"/>
          <w:b w:val="0"/>
          <w:bCs/>
          <w:kern w:val="0"/>
          <w:sz w:val="24"/>
          <w:szCs w:val="24"/>
          <w:highlight w:val="yellow"/>
          <w:lang w:val="en-US" w:eastAsia="zh-CN"/>
        </w:rPr>
      </w:pPr>
      <w:r>
        <w:rPr>
          <w:rFonts w:hint="eastAsia" w:ascii="宋体" w:hAnsi="宋体" w:eastAsia="宋体" w:cs="宋体"/>
          <w:sz w:val="22"/>
          <w:szCs w:val="22"/>
          <w:highlight w:val="none"/>
        </w:rPr>
        <w:t> </w:t>
      </w:r>
      <w:r>
        <w:rPr>
          <w:rFonts w:hint="eastAsia" w:ascii="宋体" w:hAnsi="宋体" w:eastAsia="宋体" w:cs="宋体"/>
          <w:sz w:val="22"/>
          <w:szCs w:val="22"/>
          <w:highlight w:val="none"/>
          <w:lang w:val="en-US" w:eastAsia="zh-CN"/>
        </w:rPr>
        <w:t xml:space="preserve">  </w:t>
      </w:r>
      <w:r>
        <w:rPr>
          <w:rFonts w:hint="eastAsia" w:ascii="宋体" w:hAnsi="宋体" w:eastAsia="宋体" w:cs="宋体"/>
          <w:b w:val="0"/>
          <w:bCs/>
          <w:kern w:val="0"/>
          <w:sz w:val="24"/>
          <w:szCs w:val="24"/>
          <w:highlight w:val="none"/>
          <w:lang w:val="en-US" w:eastAsia="zh-CN"/>
        </w:rPr>
        <w:t>项目名称：</w:t>
      </w:r>
      <w:r>
        <w:rPr>
          <w:rFonts w:hint="eastAsia" w:cs="宋体"/>
          <w:b w:val="0"/>
          <w:bCs/>
          <w:kern w:val="0"/>
          <w:sz w:val="24"/>
          <w:szCs w:val="24"/>
          <w:highlight w:val="none"/>
          <w:lang w:val="en-US" w:eastAsia="zh-CN"/>
        </w:rPr>
        <w:t>菏泽职业学院校园正版化服务项目</w:t>
      </w:r>
      <w:r>
        <w:rPr>
          <w:rFonts w:hint="eastAsia" w:ascii="宋体" w:hAnsi="宋体" w:eastAsia="宋体" w:cs="宋体"/>
          <w:b w:val="0"/>
          <w:bCs/>
          <w:kern w:val="0"/>
          <w:sz w:val="24"/>
          <w:szCs w:val="24"/>
          <w:highlight w:val="none"/>
          <w:lang w:val="en-US" w:eastAsia="zh-CN"/>
        </w:rPr>
        <w:br w:type="textWrapping"/>
      </w:r>
      <w:r>
        <w:rPr>
          <w:rFonts w:hint="eastAsia" w:ascii="宋体" w:hAnsi="宋体" w:eastAsia="宋体" w:cs="宋体"/>
          <w:b w:val="0"/>
          <w:bCs/>
          <w:kern w:val="0"/>
          <w:sz w:val="24"/>
          <w:szCs w:val="24"/>
          <w:highlight w:val="none"/>
          <w:lang w:val="en-US" w:eastAsia="zh-CN"/>
        </w:rPr>
        <w:t>项目编号：SDGP371700000202202000272</w:t>
      </w:r>
    </w:p>
    <w:p>
      <w:pPr>
        <w:keepNext w:val="0"/>
        <w:keepLines w:val="0"/>
        <w:pageBreakBefore w:val="0"/>
        <w:widowControl w:val="0"/>
        <w:kinsoku/>
        <w:wordWrap/>
        <w:overflowPunct/>
        <w:topLinePunct w:val="0"/>
        <w:autoSpaceDE/>
        <w:autoSpaceDN/>
        <w:bidi w:val="0"/>
        <w:adjustRightInd/>
        <w:snapToGrid/>
        <w:spacing w:line="384" w:lineRule="auto"/>
        <w:ind w:left="480" w:leftChars="200" w:firstLine="0" w:firstLineChars="0"/>
        <w:textAlignment w:val="auto"/>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 xml:space="preserve">采购方式：竞争性磋商 </w:t>
      </w:r>
    </w:p>
    <w:p>
      <w:pPr>
        <w:keepNext w:val="0"/>
        <w:keepLines w:val="0"/>
        <w:pageBreakBefore w:val="0"/>
        <w:widowControl w:val="0"/>
        <w:kinsoku/>
        <w:wordWrap/>
        <w:overflowPunct/>
        <w:topLinePunct w:val="0"/>
        <w:autoSpaceDE/>
        <w:autoSpaceDN/>
        <w:bidi w:val="0"/>
        <w:adjustRightInd/>
        <w:snapToGrid/>
        <w:spacing w:line="384" w:lineRule="auto"/>
        <w:ind w:left="480" w:leftChars="200" w:firstLine="0" w:firstLineChars="0"/>
        <w:textAlignment w:val="auto"/>
        <w:rPr>
          <w:rFonts w:hint="default"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预算金额：</w:t>
      </w:r>
      <w:r>
        <w:rPr>
          <w:rFonts w:hint="eastAsia" w:cs="宋体"/>
          <w:b w:val="0"/>
          <w:bCs/>
          <w:kern w:val="0"/>
          <w:sz w:val="24"/>
          <w:szCs w:val="24"/>
          <w:highlight w:val="none"/>
          <w:lang w:val="en-US" w:eastAsia="zh-CN"/>
        </w:rPr>
        <w:t>23万元</w:t>
      </w:r>
    </w:p>
    <w:p>
      <w:pPr>
        <w:keepNext w:val="0"/>
        <w:keepLines w:val="0"/>
        <w:pageBreakBefore w:val="0"/>
        <w:widowControl w:val="0"/>
        <w:kinsoku/>
        <w:wordWrap/>
        <w:overflowPunct/>
        <w:topLinePunct w:val="0"/>
        <w:autoSpaceDE/>
        <w:autoSpaceDN/>
        <w:bidi w:val="0"/>
        <w:adjustRightInd/>
        <w:snapToGrid/>
        <w:spacing w:line="384" w:lineRule="auto"/>
        <w:ind w:left="480" w:leftChars="200" w:firstLine="0" w:firstLineChars="0"/>
        <w:textAlignment w:val="auto"/>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最高限价：</w:t>
      </w:r>
      <w:r>
        <w:rPr>
          <w:rFonts w:hint="eastAsia" w:cs="宋体"/>
          <w:b w:val="0"/>
          <w:bCs/>
          <w:kern w:val="0"/>
          <w:sz w:val="24"/>
          <w:szCs w:val="24"/>
          <w:highlight w:val="none"/>
          <w:lang w:val="en-US" w:eastAsia="zh-CN"/>
        </w:rPr>
        <w:t>23万元</w:t>
      </w:r>
      <w:r>
        <w:rPr>
          <w:rFonts w:hint="eastAsia" w:ascii="宋体" w:hAnsi="宋体" w:eastAsia="宋体" w:cs="宋体"/>
          <w:b w:val="0"/>
          <w:bCs/>
          <w:kern w:val="0"/>
          <w:sz w:val="24"/>
          <w:szCs w:val="24"/>
          <w:highlight w:val="none"/>
          <w:lang w:val="en-US" w:eastAsia="zh-CN"/>
        </w:rPr>
        <w:t> </w:t>
      </w:r>
    </w:p>
    <w:p>
      <w:pPr>
        <w:keepNext w:val="0"/>
        <w:keepLines w:val="0"/>
        <w:pageBreakBefore w:val="0"/>
        <w:widowControl w:val="0"/>
        <w:kinsoku/>
        <w:wordWrap/>
        <w:overflowPunct/>
        <w:topLinePunct w:val="0"/>
        <w:autoSpaceDE/>
        <w:autoSpaceDN/>
        <w:bidi w:val="0"/>
        <w:adjustRightInd/>
        <w:snapToGrid/>
        <w:spacing w:line="384" w:lineRule="auto"/>
        <w:ind w:left="480" w:leftChars="200" w:firstLine="0" w:firstLineChars="0"/>
        <w:textAlignment w:val="auto"/>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采购需求：</w:t>
      </w:r>
      <w:r>
        <w:rPr>
          <w:rFonts w:hint="eastAsia" w:ascii="宋体" w:hAnsi="宋体" w:eastAsia="宋体" w:cs="宋体"/>
          <w:b w:val="0"/>
          <w:bCs/>
          <w:kern w:val="0"/>
          <w:sz w:val="24"/>
          <w:szCs w:val="24"/>
          <w:highlight w:val="none"/>
          <w:lang w:val="en-US" w:eastAsia="zh-CN"/>
        </w:rPr>
        <w:tab/>
      </w:r>
    </w:p>
    <w:tbl>
      <w:tblPr>
        <w:tblStyle w:val="23"/>
        <w:tblW w:w="97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8"/>
        <w:gridCol w:w="1010"/>
        <w:gridCol w:w="715"/>
        <w:gridCol w:w="5945"/>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18" w:type="dxa"/>
            <w:vAlign w:val="center"/>
          </w:tcPr>
          <w:p>
            <w:pPr>
              <w:keepNext w:val="0"/>
              <w:keepLines w:val="0"/>
              <w:pageBreakBefore w:val="0"/>
              <w:widowControl w:val="0"/>
              <w:kinsoku/>
              <w:wordWrap/>
              <w:overflowPunct/>
              <w:topLinePunct w:val="0"/>
              <w:autoSpaceDE/>
              <w:autoSpaceDN/>
              <w:bidi w:val="0"/>
              <w:adjustRightInd/>
              <w:snapToGrid/>
              <w:spacing w:line="408" w:lineRule="auto"/>
              <w:ind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标的</w:t>
            </w:r>
          </w:p>
        </w:tc>
        <w:tc>
          <w:tcPr>
            <w:tcW w:w="1010" w:type="dxa"/>
            <w:vAlign w:val="center"/>
          </w:tcPr>
          <w:p>
            <w:pPr>
              <w:keepNext w:val="0"/>
              <w:keepLines w:val="0"/>
              <w:pageBreakBefore w:val="0"/>
              <w:widowControl w:val="0"/>
              <w:kinsoku/>
              <w:wordWrap/>
              <w:overflowPunct/>
              <w:topLinePunct w:val="0"/>
              <w:autoSpaceDE/>
              <w:autoSpaceDN/>
              <w:bidi w:val="0"/>
              <w:adjustRightInd/>
              <w:snapToGrid/>
              <w:spacing w:line="408" w:lineRule="auto"/>
              <w:ind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标的名称</w:t>
            </w:r>
          </w:p>
        </w:tc>
        <w:tc>
          <w:tcPr>
            <w:tcW w:w="715" w:type="dxa"/>
            <w:vAlign w:val="center"/>
          </w:tcPr>
          <w:p>
            <w:pPr>
              <w:keepNext w:val="0"/>
              <w:keepLines w:val="0"/>
              <w:pageBreakBefore w:val="0"/>
              <w:widowControl w:val="0"/>
              <w:kinsoku/>
              <w:wordWrap/>
              <w:overflowPunct/>
              <w:topLinePunct w:val="0"/>
              <w:autoSpaceDE/>
              <w:autoSpaceDN/>
              <w:bidi w:val="0"/>
              <w:adjustRightInd/>
              <w:snapToGrid/>
              <w:spacing w:line="408" w:lineRule="auto"/>
              <w:ind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5945" w:type="dxa"/>
            <w:vAlign w:val="center"/>
          </w:tcPr>
          <w:p>
            <w:pPr>
              <w:keepNext w:val="0"/>
              <w:keepLines w:val="0"/>
              <w:pageBreakBefore w:val="0"/>
              <w:widowControl w:val="0"/>
              <w:kinsoku/>
              <w:wordWrap/>
              <w:overflowPunct/>
              <w:topLinePunct w:val="0"/>
              <w:autoSpaceDE/>
              <w:autoSpaceDN/>
              <w:bidi w:val="0"/>
              <w:adjustRightInd/>
              <w:snapToGrid/>
              <w:spacing w:line="408" w:lineRule="auto"/>
              <w:ind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简要技术需求或服务要求</w:t>
            </w:r>
          </w:p>
        </w:tc>
        <w:tc>
          <w:tcPr>
            <w:tcW w:w="1600" w:type="dxa"/>
            <w:vAlign w:val="center"/>
          </w:tcPr>
          <w:p>
            <w:pPr>
              <w:keepNext w:val="0"/>
              <w:keepLines w:val="0"/>
              <w:pageBreakBefore w:val="0"/>
              <w:widowControl w:val="0"/>
              <w:kinsoku/>
              <w:wordWrap/>
              <w:overflowPunct/>
              <w:topLinePunct w:val="0"/>
              <w:autoSpaceDE/>
              <w:autoSpaceDN/>
              <w:bidi w:val="0"/>
              <w:adjustRightInd/>
              <w:snapToGrid/>
              <w:spacing w:line="408" w:lineRule="auto"/>
              <w:ind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本包预算金额（单位：万元）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518" w:type="dxa"/>
            <w:vAlign w:val="center"/>
          </w:tcPr>
          <w:p>
            <w:pPr>
              <w:keepNext w:val="0"/>
              <w:keepLines w:val="0"/>
              <w:pageBreakBefore w:val="0"/>
              <w:widowControl w:val="0"/>
              <w:kinsoku/>
              <w:wordWrap/>
              <w:overflowPunct/>
              <w:topLinePunct w:val="0"/>
              <w:autoSpaceDE/>
              <w:autoSpaceDN/>
              <w:bidi w:val="0"/>
              <w:adjustRightInd/>
              <w:snapToGrid/>
              <w:spacing w:line="408" w:lineRule="auto"/>
              <w:ind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w:t>
            </w:r>
          </w:p>
        </w:tc>
        <w:tc>
          <w:tcPr>
            <w:tcW w:w="1010" w:type="dxa"/>
            <w:vAlign w:val="center"/>
          </w:tcPr>
          <w:p>
            <w:pPr>
              <w:keepNext w:val="0"/>
              <w:keepLines w:val="0"/>
              <w:pageBreakBefore w:val="0"/>
              <w:widowControl w:val="0"/>
              <w:kinsoku/>
              <w:wordWrap/>
              <w:overflowPunct/>
              <w:topLinePunct w:val="0"/>
              <w:autoSpaceDE/>
              <w:autoSpaceDN/>
              <w:bidi w:val="0"/>
              <w:adjustRightInd/>
              <w:snapToGrid/>
              <w:spacing w:line="408" w:lineRule="auto"/>
              <w:ind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校园正版化服务</w:t>
            </w:r>
          </w:p>
        </w:tc>
        <w:tc>
          <w:tcPr>
            <w:tcW w:w="715" w:type="dxa"/>
            <w:vAlign w:val="center"/>
          </w:tcPr>
          <w:p>
            <w:pPr>
              <w:keepNext w:val="0"/>
              <w:keepLines w:val="0"/>
              <w:pageBreakBefore w:val="0"/>
              <w:widowControl w:val="0"/>
              <w:kinsoku/>
              <w:wordWrap/>
              <w:overflowPunct/>
              <w:topLinePunct w:val="0"/>
              <w:autoSpaceDE/>
              <w:autoSpaceDN/>
              <w:bidi w:val="0"/>
              <w:adjustRightInd/>
              <w:snapToGrid/>
              <w:spacing w:line="408" w:lineRule="auto"/>
              <w:ind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5945" w:type="dxa"/>
          </w:tcPr>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righ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潜在供应商须在中华人民共和国境内注册，具有独立</w:t>
            </w:r>
            <w:r>
              <w:rPr>
                <w:rFonts w:hint="eastAsia" w:cs="宋体"/>
                <w:sz w:val="24"/>
                <w:szCs w:val="24"/>
                <w:highlight w:val="none"/>
                <w:lang w:val="en-US" w:eastAsia="zh-CN"/>
              </w:rPr>
              <w:t>承担民事责任的能力</w:t>
            </w:r>
            <w:r>
              <w:rPr>
                <w:rFonts w:hint="eastAsia" w:ascii="宋体" w:hAnsi="宋体" w:eastAsia="宋体" w:cs="宋体"/>
                <w:sz w:val="24"/>
                <w:szCs w:val="24"/>
                <w:highlight w:val="none"/>
              </w:rPr>
              <w:t>，并符合《中华人民共和国政府采购法》第二十二条规定；</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潜在供应商须具有有效的营业执照，具有履行合同所必须设备和专业技术能力，并能提供优质的服务；</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潜在供应商在“信用中国”网（www.creditchina.gov.cn）中未被列入失信被执行人、重大税收违法失信主体、政府采购严重违法失信行为记录名单及在中国政府采购网（www.ccgp.gov.cn）中未被列入政府采购严重违法失信行为记录名单；</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潜在供应商参加本次采购活动前三年内，在经营活动中没有重大违法记录；</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按照财政部、工业和信息化部关于印发《政府采购促进中小企业发展管理办法》的通知（财库〔2020〕46号）要求，本项目专门面向中小企业采购，不再享受评审价格扣除政策，供应商必须出具《中小企业声明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6.本项目资格后审，不接受联合体投标。 </w:t>
            </w:r>
          </w:p>
        </w:tc>
        <w:tc>
          <w:tcPr>
            <w:tcW w:w="1600" w:type="dxa"/>
            <w:vAlign w:val="center"/>
          </w:tcPr>
          <w:p>
            <w:pPr>
              <w:keepNext w:val="0"/>
              <w:keepLines w:val="0"/>
              <w:pageBreakBefore w:val="0"/>
              <w:widowControl w:val="0"/>
              <w:kinsoku/>
              <w:wordWrap/>
              <w:overflowPunct/>
              <w:topLinePunct w:val="0"/>
              <w:autoSpaceDE/>
              <w:autoSpaceDN/>
              <w:bidi w:val="0"/>
              <w:adjustRightInd/>
              <w:snapToGrid/>
              <w:spacing w:line="408" w:lineRule="auto"/>
              <w:ind w:right="0" w:firstLine="0" w:firstLineChars="0"/>
              <w:textAlignment w:val="auto"/>
              <w:rPr>
                <w:rFonts w:hint="default" w:ascii="宋体" w:hAnsi="宋体" w:eastAsia="宋体" w:cs="宋体"/>
                <w:sz w:val="24"/>
                <w:szCs w:val="24"/>
                <w:highlight w:val="none"/>
                <w:lang w:val="en-US" w:eastAsia="zh-CN"/>
              </w:rPr>
            </w:pPr>
            <w:r>
              <w:rPr>
                <w:rFonts w:hint="eastAsia" w:cs="宋体"/>
                <w:sz w:val="24"/>
                <w:szCs w:val="24"/>
                <w:highlight w:val="none"/>
                <w:lang w:val="en-US" w:eastAsia="zh-CN"/>
              </w:rPr>
              <w:t>23万元</w:t>
            </w:r>
          </w:p>
        </w:tc>
      </w:tr>
    </w:tbl>
    <w:p>
      <w:pPr>
        <w:keepNext w:val="0"/>
        <w:keepLines w:val="0"/>
        <w:pageBreakBefore w:val="0"/>
        <w:widowControl w:val="0"/>
        <w:kinsoku/>
        <w:wordWrap/>
        <w:overflowPunct/>
        <w:topLinePunct w:val="0"/>
        <w:autoSpaceDE/>
        <w:autoSpaceDN/>
        <w:bidi w:val="0"/>
        <w:adjustRightInd/>
        <w:snapToGrid/>
        <w:spacing w:line="384" w:lineRule="auto"/>
        <w:ind w:left="0" w:leftChars="0" w:firstLine="0" w:firstLineChars="0"/>
        <w:textAlignment w:val="auto"/>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合同履行期限：</w:t>
      </w:r>
      <w:r>
        <w:rPr>
          <w:rFonts w:hint="eastAsia" w:cs="宋体"/>
          <w:b w:val="0"/>
          <w:bCs/>
          <w:kern w:val="0"/>
          <w:sz w:val="24"/>
          <w:szCs w:val="24"/>
          <w:highlight w:val="none"/>
          <w:lang w:val="en-US" w:eastAsia="zh-CN"/>
        </w:rPr>
        <w:t>供货期：</w:t>
      </w:r>
      <w:r>
        <w:rPr>
          <w:rFonts w:hint="eastAsia" w:ascii="宋体" w:hAnsi="宋体" w:eastAsia="宋体" w:cs="宋体"/>
          <w:b w:val="0"/>
          <w:bCs/>
          <w:kern w:val="0"/>
          <w:sz w:val="24"/>
          <w:szCs w:val="24"/>
          <w:highlight w:val="none"/>
          <w:lang w:val="en-US" w:eastAsia="zh-CN"/>
        </w:rPr>
        <w:t>合同签订完成后，2周内安装调试完毕</w:t>
      </w:r>
      <w:r>
        <w:rPr>
          <w:rFonts w:hint="eastAsia" w:cs="宋体"/>
          <w:b w:val="0"/>
          <w:bCs/>
          <w:kern w:val="0"/>
          <w:sz w:val="24"/>
          <w:szCs w:val="24"/>
          <w:highlight w:val="none"/>
          <w:lang w:val="en-US" w:eastAsia="zh-CN"/>
        </w:rPr>
        <w:t>；服务期限：1年。</w:t>
      </w:r>
    </w:p>
    <w:p>
      <w:pPr>
        <w:keepNext w:val="0"/>
        <w:keepLines w:val="0"/>
        <w:pageBreakBefore w:val="0"/>
        <w:widowControl w:val="0"/>
        <w:kinsoku/>
        <w:wordWrap/>
        <w:overflowPunct/>
        <w:topLinePunct w:val="0"/>
        <w:autoSpaceDE/>
        <w:autoSpaceDN/>
        <w:bidi w:val="0"/>
        <w:adjustRightInd/>
        <w:snapToGrid/>
        <w:spacing w:line="384" w:lineRule="auto"/>
        <w:ind w:left="0" w:leftChars="0" w:firstLine="240" w:firstLineChars="100"/>
        <w:textAlignment w:val="auto"/>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本项目不接受联合体投标。</w:t>
      </w:r>
      <w:r>
        <w:rPr>
          <w:rFonts w:hint="eastAsia" w:ascii="宋体" w:hAnsi="宋体" w:eastAsia="宋体" w:cs="宋体"/>
          <w:b w:val="0"/>
          <w:bCs/>
          <w:kern w:val="0"/>
          <w:sz w:val="24"/>
          <w:szCs w:val="24"/>
          <w:highlight w:val="none"/>
          <w:lang w:val="en-US" w:eastAsia="zh-CN"/>
        </w:rPr>
        <w:tab/>
      </w:r>
    </w:p>
    <w:p>
      <w:pPr>
        <w:keepNext w:val="0"/>
        <w:keepLines w:val="0"/>
        <w:pageBreakBefore w:val="0"/>
        <w:widowControl w:val="0"/>
        <w:kinsoku/>
        <w:wordWrap/>
        <w:overflowPunct/>
        <w:topLinePunct w:val="0"/>
        <w:autoSpaceDE/>
        <w:autoSpaceDN/>
        <w:bidi w:val="0"/>
        <w:adjustRightInd/>
        <w:snapToGrid/>
        <w:spacing w:line="384" w:lineRule="auto"/>
        <w:ind w:left="0" w:leftChars="0" w:firstLine="0" w:firstLineChars="0"/>
        <w:textAlignment w:val="auto"/>
        <w:rPr>
          <w:rFonts w:hint="eastAsia" w:ascii="宋体" w:hAnsi="宋体" w:eastAsia="宋体" w:cs="宋体"/>
          <w:b/>
          <w:bCs w:val="0"/>
          <w:kern w:val="0"/>
          <w:sz w:val="24"/>
          <w:szCs w:val="24"/>
          <w:highlight w:val="none"/>
          <w:lang w:val="en-US" w:eastAsia="zh-CN"/>
        </w:rPr>
      </w:pPr>
      <w:r>
        <w:rPr>
          <w:rFonts w:hint="eastAsia" w:ascii="宋体" w:hAnsi="宋体" w:eastAsia="宋体" w:cs="宋体"/>
          <w:b/>
          <w:bCs w:val="0"/>
          <w:kern w:val="0"/>
          <w:sz w:val="24"/>
          <w:szCs w:val="24"/>
          <w:highlight w:val="none"/>
          <w:lang w:val="en-US" w:eastAsia="zh-CN"/>
        </w:rPr>
        <w:t>二、申请人的资格要求：</w:t>
      </w:r>
      <w:r>
        <w:rPr>
          <w:rFonts w:hint="eastAsia" w:ascii="宋体" w:hAnsi="宋体" w:eastAsia="宋体" w:cs="宋体"/>
          <w:b/>
          <w:bCs w:val="0"/>
          <w:kern w:val="0"/>
          <w:sz w:val="24"/>
          <w:szCs w:val="24"/>
          <w:highlight w:val="none"/>
          <w:lang w:val="en-US" w:eastAsia="zh-CN"/>
        </w:rPr>
        <w:tab/>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1、满足《中华人民共和国政府采购法》第二十二条规定；</w:t>
      </w:r>
      <w:r>
        <w:rPr>
          <w:rFonts w:hint="eastAsia" w:ascii="宋体" w:hAnsi="宋体" w:eastAsia="宋体" w:cs="宋体"/>
          <w:b w:val="0"/>
          <w:bCs/>
          <w:kern w:val="0"/>
          <w:sz w:val="24"/>
          <w:szCs w:val="24"/>
          <w:highlight w:val="none"/>
          <w:lang w:val="en-US" w:eastAsia="zh-CN"/>
        </w:rPr>
        <w:tab/>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 xml:space="preserve">2、落实政府采购政策需满足的资格要求：详按照财政部、工业和信息化部关于印发《政府采购促进中小企业发展管理办法》的通知（财库〔2020〕46号）要求，本项目专门面向中小企业采购； </w:t>
      </w:r>
      <w:r>
        <w:rPr>
          <w:rFonts w:hint="eastAsia" w:ascii="宋体" w:hAnsi="宋体" w:eastAsia="宋体" w:cs="宋体"/>
          <w:b w:val="0"/>
          <w:bCs/>
          <w:kern w:val="0"/>
          <w:sz w:val="24"/>
          <w:szCs w:val="24"/>
          <w:highlight w:val="none"/>
          <w:lang w:val="en-US" w:eastAsia="zh-CN"/>
        </w:rPr>
        <w:tab/>
      </w:r>
    </w:p>
    <w:p>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3、本项目的特定资格要求：详见竞争性磋商文件</w:t>
      </w:r>
      <w:r>
        <w:rPr>
          <w:rFonts w:hint="eastAsia" w:ascii="宋体" w:hAnsi="宋体" w:eastAsia="宋体" w:cs="宋体"/>
          <w:b w:val="0"/>
          <w:bCs/>
          <w:kern w:val="0"/>
          <w:sz w:val="24"/>
          <w:szCs w:val="24"/>
          <w:highlight w:val="none"/>
          <w:lang w:val="en-US" w:eastAsia="zh-CN"/>
        </w:rPr>
        <w:tab/>
      </w:r>
    </w:p>
    <w:p>
      <w:pPr>
        <w:keepNext w:val="0"/>
        <w:keepLines w:val="0"/>
        <w:pageBreakBefore w:val="0"/>
        <w:widowControl w:val="0"/>
        <w:kinsoku/>
        <w:wordWrap/>
        <w:overflowPunct/>
        <w:topLinePunct w:val="0"/>
        <w:autoSpaceDE/>
        <w:autoSpaceDN/>
        <w:bidi w:val="0"/>
        <w:adjustRightInd/>
        <w:snapToGrid/>
        <w:spacing w:line="384" w:lineRule="auto"/>
        <w:ind w:left="0" w:leftChars="0" w:firstLine="0" w:firstLineChars="0"/>
        <w:textAlignment w:val="auto"/>
        <w:rPr>
          <w:rFonts w:hint="eastAsia" w:ascii="宋体" w:hAnsi="宋体" w:eastAsia="宋体" w:cs="宋体"/>
          <w:b w:val="0"/>
          <w:bCs/>
          <w:kern w:val="0"/>
          <w:sz w:val="24"/>
          <w:szCs w:val="24"/>
          <w:highlight w:val="none"/>
          <w:lang w:val="en-US" w:eastAsia="zh-CN"/>
        </w:rPr>
      </w:pPr>
      <w:r>
        <w:rPr>
          <w:rFonts w:hint="eastAsia" w:ascii="宋体" w:hAnsi="宋体" w:eastAsia="宋体" w:cs="宋体"/>
          <w:b/>
          <w:bCs w:val="0"/>
          <w:kern w:val="0"/>
          <w:sz w:val="24"/>
          <w:szCs w:val="24"/>
          <w:highlight w:val="none"/>
          <w:lang w:val="en-US" w:eastAsia="zh-CN"/>
        </w:rPr>
        <w:t>三、获取采购文件：</w:t>
      </w:r>
      <w:r>
        <w:rPr>
          <w:rFonts w:hint="eastAsia" w:ascii="宋体" w:hAnsi="宋体" w:eastAsia="宋体" w:cs="宋体"/>
          <w:b w:val="0"/>
          <w:bCs/>
          <w:kern w:val="0"/>
          <w:sz w:val="24"/>
          <w:szCs w:val="24"/>
          <w:highlight w:val="none"/>
          <w:lang w:val="en-US" w:eastAsia="zh-CN"/>
        </w:rPr>
        <w:tab/>
      </w:r>
    </w:p>
    <w:p>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1.时间：2022年</w:t>
      </w:r>
      <w:r>
        <w:rPr>
          <w:rFonts w:hint="eastAsia" w:cs="宋体"/>
          <w:b w:val="0"/>
          <w:bCs/>
          <w:kern w:val="0"/>
          <w:sz w:val="24"/>
          <w:szCs w:val="24"/>
          <w:highlight w:val="none"/>
          <w:lang w:val="en-US" w:eastAsia="zh-CN"/>
        </w:rPr>
        <w:t>11</w:t>
      </w:r>
      <w:r>
        <w:rPr>
          <w:rFonts w:hint="eastAsia" w:ascii="宋体" w:hAnsi="宋体" w:eastAsia="宋体" w:cs="宋体"/>
          <w:b w:val="0"/>
          <w:bCs/>
          <w:kern w:val="0"/>
          <w:sz w:val="24"/>
          <w:szCs w:val="24"/>
          <w:highlight w:val="none"/>
          <w:lang w:val="en-US" w:eastAsia="zh-CN"/>
        </w:rPr>
        <w:t>月</w:t>
      </w:r>
      <w:r>
        <w:rPr>
          <w:rFonts w:hint="eastAsia" w:cs="宋体"/>
          <w:b w:val="0"/>
          <w:bCs/>
          <w:kern w:val="0"/>
          <w:sz w:val="24"/>
          <w:szCs w:val="24"/>
          <w:highlight w:val="none"/>
          <w:lang w:val="en-US" w:eastAsia="zh-CN"/>
        </w:rPr>
        <w:t>03</w:t>
      </w:r>
      <w:r>
        <w:rPr>
          <w:rFonts w:hint="eastAsia" w:ascii="宋体" w:hAnsi="宋体" w:eastAsia="宋体" w:cs="宋体"/>
          <w:b w:val="0"/>
          <w:bCs/>
          <w:kern w:val="0"/>
          <w:sz w:val="24"/>
          <w:szCs w:val="24"/>
          <w:highlight w:val="none"/>
          <w:lang w:val="en-US" w:eastAsia="zh-CN"/>
        </w:rPr>
        <w:t>日8时00分至2022年</w:t>
      </w:r>
      <w:r>
        <w:rPr>
          <w:rFonts w:hint="eastAsia" w:cs="宋体"/>
          <w:b w:val="0"/>
          <w:bCs/>
          <w:kern w:val="0"/>
          <w:sz w:val="24"/>
          <w:szCs w:val="24"/>
          <w:highlight w:val="none"/>
          <w:lang w:val="en-US" w:eastAsia="zh-CN"/>
        </w:rPr>
        <w:t>11</w:t>
      </w:r>
      <w:r>
        <w:rPr>
          <w:rFonts w:hint="eastAsia" w:ascii="宋体" w:hAnsi="宋体" w:eastAsia="宋体" w:cs="宋体"/>
          <w:b w:val="0"/>
          <w:bCs/>
          <w:kern w:val="0"/>
          <w:sz w:val="24"/>
          <w:szCs w:val="24"/>
          <w:highlight w:val="none"/>
          <w:lang w:val="en-US" w:eastAsia="zh-CN"/>
        </w:rPr>
        <w:t>月</w:t>
      </w:r>
      <w:r>
        <w:rPr>
          <w:rFonts w:hint="eastAsia" w:cs="宋体"/>
          <w:b w:val="0"/>
          <w:bCs/>
          <w:kern w:val="0"/>
          <w:sz w:val="24"/>
          <w:szCs w:val="24"/>
          <w:highlight w:val="none"/>
          <w:lang w:val="en-US" w:eastAsia="zh-CN"/>
        </w:rPr>
        <w:t>09</w:t>
      </w:r>
      <w:r>
        <w:rPr>
          <w:rFonts w:hint="eastAsia" w:ascii="宋体" w:hAnsi="宋体" w:eastAsia="宋体" w:cs="宋体"/>
          <w:b w:val="0"/>
          <w:bCs/>
          <w:kern w:val="0"/>
          <w:sz w:val="24"/>
          <w:szCs w:val="24"/>
          <w:highlight w:val="none"/>
          <w:lang w:val="en-US" w:eastAsia="zh-CN"/>
        </w:rPr>
        <w:t>日</w:t>
      </w:r>
      <w:r>
        <w:rPr>
          <w:rFonts w:hint="eastAsia" w:cs="宋体"/>
          <w:b w:val="0"/>
          <w:bCs/>
          <w:kern w:val="0"/>
          <w:sz w:val="24"/>
          <w:szCs w:val="24"/>
          <w:highlight w:val="none"/>
          <w:lang w:val="en-US" w:eastAsia="zh-CN"/>
        </w:rPr>
        <w:t>17</w:t>
      </w:r>
      <w:r>
        <w:rPr>
          <w:rFonts w:hint="eastAsia" w:ascii="宋体" w:hAnsi="宋体" w:eastAsia="宋体" w:cs="宋体"/>
          <w:b w:val="0"/>
          <w:bCs/>
          <w:kern w:val="0"/>
          <w:sz w:val="24"/>
          <w:szCs w:val="24"/>
          <w:highlight w:val="none"/>
          <w:lang w:val="en-US" w:eastAsia="zh-CN"/>
        </w:rPr>
        <w:t>时</w:t>
      </w:r>
      <w:r>
        <w:rPr>
          <w:rFonts w:hint="eastAsia" w:cs="宋体"/>
          <w:b w:val="0"/>
          <w:bCs/>
          <w:kern w:val="0"/>
          <w:sz w:val="24"/>
          <w:szCs w:val="24"/>
          <w:highlight w:val="none"/>
          <w:lang w:val="en-US" w:eastAsia="zh-CN"/>
        </w:rPr>
        <w:t>30</w:t>
      </w:r>
      <w:r>
        <w:rPr>
          <w:rFonts w:hint="eastAsia" w:ascii="宋体" w:hAnsi="宋体" w:eastAsia="宋体" w:cs="宋体"/>
          <w:b w:val="0"/>
          <w:bCs/>
          <w:kern w:val="0"/>
          <w:sz w:val="24"/>
          <w:szCs w:val="24"/>
          <w:highlight w:val="none"/>
          <w:lang w:val="en-US" w:eastAsia="zh-CN"/>
        </w:rPr>
        <w:t>分（北京时间，法定节假日除外）</w:t>
      </w:r>
    </w:p>
    <w:p>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2.地点：中国山东政府采购网、菏泽市政府采购公共服务平台、</w:t>
      </w:r>
      <w:r>
        <w:rPr>
          <w:rFonts w:hint="eastAsia" w:cs="宋体"/>
          <w:b w:val="0"/>
          <w:bCs/>
          <w:kern w:val="0"/>
          <w:sz w:val="24"/>
          <w:szCs w:val="24"/>
          <w:highlight w:val="none"/>
          <w:lang w:val="en-US" w:eastAsia="zh-CN"/>
        </w:rPr>
        <w:t>菏泽职业学院官网、</w:t>
      </w:r>
      <w:r>
        <w:rPr>
          <w:rFonts w:hint="eastAsia" w:ascii="宋体" w:hAnsi="宋体" w:eastAsia="宋体" w:cs="宋体"/>
          <w:b w:val="0"/>
          <w:bCs/>
          <w:kern w:val="0"/>
          <w:sz w:val="24"/>
          <w:szCs w:val="24"/>
          <w:highlight w:val="none"/>
          <w:lang w:val="en-US" w:eastAsia="zh-CN"/>
        </w:rPr>
        <w:t>赢标电子招标采购交易平台（菏泽专区）（http://hz.fzbidding.com）</w:t>
      </w:r>
    </w:p>
    <w:p>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3.方式：①潜在供应商需在</w:t>
      </w:r>
      <w:r>
        <w:rPr>
          <w:rFonts w:hint="eastAsia" w:ascii="宋体" w:hAnsi="宋体" w:eastAsia="宋体" w:cs="宋体"/>
          <w:b w:val="0"/>
          <w:bCs/>
          <w:color w:val="auto"/>
          <w:kern w:val="0"/>
          <w:sz w:val="24"/>
          <w:szCs w:val="24"/>
          <w:highlight w:val="none"/>
          <w:lang w:val="en-US" w:eastAsia="zh-CN"/>
        </w:rPr>
        <w:t>(2022年</w:t>
      </w:r>
      <w:r>
        <w:rPr>
          <w:rFonts w:hint="eastAsia" w:cs="宋体"/>
          <w:b w:val="0"/>
          <w:bCs/>
          <w:color w:val="auto"/>
          <w:kern w:val="0"/>
          <w:sz w:val="24"/>
          <w:szCs w:val="24"/>
          <w:highlight w:val="none"/>
          <w:lang w:val="en-US" w:eastAsia="zh-CN"/>
        </w:rPr>
        <w:t>11</w:t>
      </w:r>
      <w:r>
        <w:rPr>
          <w:rFonts w:hint="eastAsia" w:ascii="宋体" w:hAnsi="宋体" w:eastAsia="宋体" w:cs="宋体"/>
          <w:b w:val="0"/>
          <w:bCs/>
          <w:color w:val="auto"/>
          <w:kern w:val="0"/>
          <w:sz w:val="24"/>
          <w:szCs w:val="24"/>
          <w:highlight w:val="none"/>
          <w:lang w:val="en-US" w:eastAsia="zh-CN"/>
        </w:rPr>
        <w:t>月</w:t>
      </w:r>
      <w:r>
        <w:rPr>
          <w:rFonts w:hint="eastAsia" w:cs="宋体"/>
          <w:b w:val="0"/>
          <w:bCs/>
          <w:color w:val="auto"/>
          <w:kern w:val="0"/>
          <w:sz w:val="24"/>
          <w:szCs w:val="24"/>
          <w:highlight w:val="none"/>
          <w:lang w:val="en-US" w:eastAsia="zh-CN"/>
        </w:rPr>
        <w:t>03</w:t>
      </w:r>
      <w:r>
        <w:rPr>
          <w:rFonts w:hint="eastAsia" w:ascii="宋体" w:hAnsi="宋体" w:eastAsia="宋体" w:cs="宋体"/>
          <w:b w:val="0"/>
          <w:bCs/>
          <w:color w:val="auto"/>
          <w:kern w:val="0"/>
          <w:sz w:val="24"/>
          <w:szCs w:val="24"/>
          <w:highlight w:val="none"/>
          <w:lang w:val="en-US" w:eastAsia="zh-CN"/>
        </w:rPr>
        <w:t>日8时00分至2022年</w:t>
      </w:r>
      <w:r>
        <w:rPr>
          <w:rFonts w:hint="eastAsia" w:cs="宋体"/>
          <w:b w:val="0"/>
          <w:bCs/>
          <w:color w:val="auto"/>
          <w:kern w:val="0"/>
          <w:sz w:val="24"/>
          <w:szCs w:val="24"/>
          <w:highlight w:val="none"/>
          <w:lang w:val="en-US" w:eastAsia="zh-CN"/>
        </w:rPr>
        <w:t>11</w:t>
      </w:r>
      <w:r>
        <w:rPr>
          <w:rFonts w:hint="eastAsia" w:ascii="宋体" w:hAnsi="宋体" w:eastAsia="宋体" w:cs="宋体"/>
          <w:b w:val="0"/>
          <w:bCs/>
          <w:color w:val="auto"/>
          <w:kern w:val="0"/>
          <w:sz w:val="24"/>
          <w:szCs w:val="24"/>
          <w:highlight w:val="none"/>
          <w:lang w:val="en-US" w:eastAsia="zh-CN"/>
        </w:rPr>
        <w:t>月</w:t>
      </w:r>
      <w:r>
        <w:rPr>
          <w:rFonts w:hint="eastAsia" w:cs="宋体"/>
          <w:b w:val="0"/>
          <w:bCs/>
          <w:color w:val="auto"/>
          <w:kern w:val="0"/>
          <w:sz w:val="24"/>
          <w:szCs w:val="24"/>
          <w:highlight w:val="none"/>
          <w:lang w:val="en-US" w:eastAsia="zh-CN"/>
        </w:rPr>
        <w:t>09</w:t>
      </w:r>
      <w:r>
        <w:rPr>
          <w:rFonts w:hint="eastAsia" w:ascii="宋体" w:hAnsi="宋体" w:eastAsia="宋体" w:cs="宋体"/>
          <w:b w:val="0"/>
          <w:bCs/>
          <w:color w:val="auto"/>
          <w:kern w:val="0"/>
          <w:sz w:val="24"/>
          <w:szCs w:val="24"/>
          <w:highlight w:val="none"/>
          <w:lang w:val="en-US" w:eastAsia="zh-CN"/>
        </w:rPr>
        <w:t>日</w:t>
      </w:r>
      <w:r>
        <w:rPr>
          <w:rFonts w:hint="eastAsia" w:cs="宋体"/>
          <w:b w:val="0"/>
          <w:bCs/>
          <w:color w:val="auto"/>
          <w:kern w:val="0"/>
          <w:sz w:val="24"/>
          <w:szCs w:val="24"/>
          <w:highlight w:val="none"/>
          <w:lang w:val="en-US" w:eastAsia="zh-CN"/>
        </w:rPr>
        <w:t>17</w:t>
      </w:r>
      <w:r>
        <w:rPr>
          <w:rFonts w:hint="eastAsia" w:ascii="宋体" w:hAnsi="宋体" w:eastAsia="宋体" w:cs="宋体"/>
          <w:b w:val="0"/>
          <w:bCs/>
          <w:color w:val="auto"/>
          <w:kern w:val="0"/>
          <w:sz w:val="24"/>
          <w:szCs w:val="24"/>
          <w:highlight w:val="none"/>
          <w:lang w:val="en-US" w:eastAsia="zh-CN"/>
        </w:rPr>
        <w:t>时</w:t>
      </w:r>
      <w:r>
        <w:rPr>
          <w:rFonts w:hint="eastAsia" w:cs="宋体"/>
          <w:b w:val="0"/>
          <w:bCs/>
          <w:color w:val="auto"/>
          <w:kern w:val="0"/>
          <w:sz w:val="24"/>
          <w:szCs w:val="24"/>
          <w:highlight w:val="none"/>
          <w:lang w:val="en-US" w:eastAsia="zh-CN"/>
        </w:rPr>
        <w:t>30</w:t>
      </w:r>
      <w:r>
        <w:rPr>
          <w:rFonts w:hint="eastAsia" w:ascii="宋体" w:hAnsi="宋体" w:eastAsia="宋体" w:cs="宋体"/>
          <w:b w:val="0"/>
          <w:bCs/>
          <w:color w:val="auto"/>
          <w:kern w:val="0"/>
          <w:sz w:val="24"/>
          <w:szCs w:val="24"/>
          <w:highlight w:val="none"/>
          <w:lang w:val="en-US" w:eastAsia="zh-CN"/>
        </w:rPr>
        <w:t>分，北京时间）中国山东政府采购</w:t>
      </w:r>
      <w:r>
        <w:rPr>
          <w:rFonts w:hint="eastAsia" w:ascii="宋体" w:hAnsi="宋体" w:eastAsia="宋体" w:cs="宋体"/>
          <w:b w:val="0"/>
          <w:bCs/>
          <w:kern w:val="0"/>
          <w:sz w:val="24"/>
          <w:szCs w:val="24"/>
          <w:highlight w:val="none"/>
          <w:lang w:val="en-US" w:eastAsia="zh-CN"/>
        </w:rPr>
        <w:t>网+赢标电子招标采购交易平台（菏泽专区）（http://hz.fzbidding.com）进行网上注册并备案，截止时间前未在上述网站注册的或者只注册未进行网上备案的供应商不具备参与本项目的投标资格。②潜在供应商还须在采购文件规定的时限内登录赢标电子招标采购交易平台（菏泽专区）（http://hz.fzbidding.com）下载电子版竞争性磋商文件，逾期未下载造成本项目采购活动无法参加，后果自负。③关于本项目的变更、修改、澄清、补充内容及对项目的暂停、延期通知等情况均在发布</w:t>
      </w:r>
      <w:r>
        <w:rPr>
          <w:rFonts w:hint="eastAsia" w:cs="宋体"/>
          <w:b w:val="0"/>
          <w:bCs/>
          <w:kern w:val="0"/>
          <w:sz w:val="24"/>
          <w:szCs w:val="24"/>
          <w:highlight w:val="none"/>
          <w:lang w:val="en-US" w:eastAsia="zh-CN"/>
        </w:rPr>
        <w:t>磋商</w:t>
      </w:r>
      <w:r>
        <w:rPr>
          <w:rFonts w:hint="eastAsia" w:ascii="宋体" w:hAnsi="宋体" w:eastAsia="宋体" w:cs="宋体"/>
          <w:b w:val="0"/>
          <w:bCs/>
          <w:kern w:val="0"/>
          <w:sz w:val="24"/>
          <w:szCs w:val="24"/>
          <w:highlight w:val="none"/>
          <w:lang w:val="en-US" w:eastAsia="zh-CN"/>
        </w:rPr>
        <w:t>公告的媒介同时发布。</w:t>
      </w:r>
      <w:r>
        <w:rPr>
          <w:rFonts w:hint="eastAsia" w:cs="宋体"/>
          <w:b w:val="0"/>
          <w:bCs/>
          <w:kern w:val="0"/>
          <w:sz w:val="24"/>
          <w:szCs w:val="24"/>
          <w:highlight w:val="none"/>
          <w:lang w:val="en-US" w:eastAsia="zh-CN"/>
        </w:rPr>
        <w:t>供应商</w:t>
      </w:r>
      <w:r>
        <w:rPr>
          <w:rFonts w:hint="eastAsia" w:ascii="宋体" w:hAnsi="宋体" w:eastAsia="宋体" w:cs="宋体"/>
          <w:b w:val="0"/>
          <w:bCs/>
          <w:kern w:val="0"/>
          <w:sz w:val="24"/>
          <w:szCs w:val="24"/>
          <w:highlight w:val="none"/>
          <w:lang w:val="en-US" w:eastAsia="zh-CN"/>
        </w:rPr>
        <w:t>自行查阅网站信息，或于开标前向招标代理机构电话询问确认，未按要求查阅者自行承担相应后果，恕不予单独告知。</w:t>
      </w:r>
    </w:p>
    <w:p>
      <w:pPr>
        <w:spacing w:line="408" w:lineRule="auto"/>
        <w:ind w:firstLine="410" w:firstLineChars="171"/>
        <w:rPr>
          <w:rFonts w:hint="eastAsia" w:ascii="宋体" w:hAnsi="宋体" w:eastAsia="宋体" w:cs="宋体"/>
          <w:sz w:val="22"/>
          <w:szCs w:val="22"/>
          <w:highlight w:val="none"/>
        </w:rPr>
      </w:pPr>
      <w:r>
        <w:rPr>
          <w:rFonts w:hint="eastAsia" w:ascii="宋体" w:hAnsi="宋体" w:eastAsia="宋体" w:cs="宋体"/>
          <w:b w:val="0"/>
          <w:bCs/>
          <w:kern w:val="0"/>
          <w:sz w:val="24"/>
          <w:szCs w:val="24"/>
          <w:highlight w:val="none"/>
          <w:lang w:val="en-US" w:eastAsia="zh-CN"/>
        </w:rPr>
        <w:t xml:space="preserve">  4.售价：0元。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val="0"/>
          <w:kern w:val="0"/>
          <w:sz w:val="24"/>
          <w:szCs w:val="24"/>
          <w:highlight w:val="none"/>
          <w:lang w:val="en-US" w:eastAsia="zh-CN"/>
        </w:rPr>
      </w:pPr>
      <w:r>
        <w:rPr>
          <w:rFonts w:hint="eastAsia" w:ascii="宋体" w:hAnsi="宋体" w:eastAsia="宋体" w:cs="宋体"/>
          <w:b/>
          <w:bCs/>
          <w:sz w:val="24"/>
          <w:szCs w:val="24"/>
          <w:highlight w:val="none"/>
        </w:rPr>
        <w:t>四、</w:t>
      </w:r>
      <w:r>
        <w:rPr>
          <w:rFonts w:hint="eastAsia" w:ascii="宋体" w:hAnsi="宋体" w:eastAsia="宋体" w:cs="宋体"/>
          <w:b/>
          <w:bCs/>
          <w:kern w:val="0"/>
          <w:sz w:val="24"/>
          <w:szCs w:val="24"/>
          <w:highlight w:val="none"/>
          <w:lang w:val="en-US" w:eastAsia="zh-CN"/>
        </w:rPr>
        <w:t>响应文件提交：</w:t>
      </w:r>
      <w:r>
        <w:rPr>
          <w:rFonts w:hint="eastAsia" w:ascii="宋体" w:hAnsi="宋体" w:eastAsia="宋体" w:cs="宋体"/>
          <w:b/>
          <w:bCs w:val="0"/>
          <w:kern w:val="0"/>
          <w:sz w:val="24"/>
          <w:szCs w:val="24"/>
          <w:highlight w:val="none"/>
          <w:lang w:val="en-US" w:eastAsia="zh-CN"/>
        </w:rPr>
        <w:t xml:space="preserve"> </w:t>
      </w:r>
    </w:p>
    <w:p>
      <w:pPr>
        <w:bidi w:val="0"/>
        <w:spacing w:line="360" w:lineRule="auto"/>
        <w:ind w:firstLine="480" w:firstLineChars="200"/>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1.截止时间：202</w:t>
      </w:r>
      <w:r>
        <w:rPr>
          <w:rFonts w:hint="eastAsia" w:ascii="宋体" w:hAnsi="宋体" w:cs="宋体"/>
          <w:b w:val="0"/>
          <w:bCs/>
          <w:kern w:val="0"/>
          <w:sz w:val="24"/>
          <w:szCs w:val="24"/>
          <w:highlight w:val="none"/>
          <w:lang w:val="en-US" w:eastAsia="zh-CN"/>
        </w:rPr>
        <w:t>2</w:t>
      </w:r>
      <w:r>
        <w:rPr>
          <w:rFonts w:hint="eastAsia" w:ascii="宋体" w:hAnsi="宋体" w:eastAsia="宋体" w:cs="宋体"/>
          <w:b w:val="0"/>
          <w:bCs/>
          <w:kern w:val="0"/>
          <w:sz w:val="24"/>
          <w:szCs w:val="24"/>
          <w:highlight w:val="none"/>
          <w:lang w:val="en-US" w:eastAsia="zh-CN"/>
        </w:rPr>
        <w:t>年</w:t>
      </w:r>
      <w:r>
        <w:rPr>
          <w:rFonts w:hint="eastAsia" w:cs="宋体"/>
          <w:b w:val="0"/>
          <w:bCs/>
          <w:kern w:val="0"/>
          <w:sz w:val="24"/>
          <w:szCs w:val="24"/>
          <w:highlight w:val="none"/>
          <w:lang w:val="en-US" w:eastAsia="zh-CN"/>
        </w:rPr>
        <w:t>11</w:t>
      </w:r>
      <w:r>
        <w:rPr>
          <w:rFonts w:hint="eastAsia" w:ascii="宋体" w:hAnsi="宋体" w:eastAsia="宋体" w:cs="宋体"/>
          <w:b w:val="0"/>
          <w:bCs/>
          <w:kern w:val="0"/>
          <w:sz w:val="24"/>
          <w:szCs w:val="24"/>
          <w:highlight w:val="none"/>
          <w:lang w:val="en-US" w:eastAsia="zh-CN"/>
        </w:rPr>
        <w:t>月</w:t>
      </w:r>
      <w:r>
        <w:rPr>
          <w:rFonts w:hint="eastAsia" w:cs="宋体"/>
          <w:b w:val="0"/>
          <w:bCs/>
          <w:kern w:val="0"/>
          <w:sz w:val="24"/>
          <w:szCs w:val="24"/>
          <w:highlight w:val="none"/>
          <w:lang w:val="en-US" w:eastAsia="zh-CN"/>
        </w:rPr>
        <w:t>15</w:t>
      </w:r>
      <w:r>
        <w:rPr>
          <w:rFonts w:hint="eastAsia" w:ascii="宋体" w:hAnsi="宋体" w:eastAsia="宋体" w:cs="宋体"/>
          <w:b w:val="0"/>
          <w:bCs/>
          <w:kern w:val="0"/>
          <w:sz w:val="24"/>
          <w:szCs w:val="24"/>
          <w:highlight w:val="none"/>
          <w:lang w:val="en-US" w:eastAsia="zh-CN"/>
        </w:rPr>
        <w:t>日</w:t>
      </w:r>
      <w:r>
        <w:rPr>
          <w:rFonts w:hint="eastAsia" w:cs="宋体"/>
          <w:b w:val="0"/>
          <w:bCs/>
          <w:kern w:val="0"/>
          <w:sz w:val="24"/>
          <w:szCs w:val="24"/>
          <w:highlight w:val="none"/>
          <w:lang w:val="en-US" w:eastAsia="zh-CN"/>
        </w:rPr>
        <w:t>09</w:t>
      </w:r>
      <w:r>
        <w:rPr>
          <w:rFonts w:hint="eastAsia" w:ascii="宋体" w:hAnsi="宋体" w:eastAsia="宋体" w:cs="宋体"/>
          <w:b w:val="0"/>
          <w:bCs/>
          <w:kern w:val="0"/>
          <w:sz w:val="24"/>
          <w:szCs w:val="24"/>
          <w:highlight w:val="none"/>
          <w:lang w:val="en-US" w:eastAsia="zh-CN"/>
        </w:rPr>
        <w:t>时</w:t>
      </w:r>
      <w:r>
        <w:rPr>
          <w:rFonts w:hint="eastAsia" w:cs="宋体"/>
          <w:b w:val="0"/>
          <w:bCs/>
          <w:kern w:val="0"/>
          <w:sz w:val="24"/>
          <w:szCs w:val="24"/>
          <w:highlight w:val="none"/>
          <w:lang w:val="en-US" w:eastAsia="zh-CN"/>
        </w:rPr>
        <w:t>30</w:t>
      </w:r>
      <w:r>
        <w:rPr>
          <w:rFonts w:hint="eastAsia" w:ascii="宋体" w:hAnsi="宋体" w:eastAsia="宋体" w:cs="宋体"/>
          <w:b w:val="0"/>
          <w:bCs/>
          <w:kern w:val="0"/>
          <w:sz w:val="24"/>
          <w:szCs w:val="24"/>
          <w:highlight w:val="none"/>
          <w:lang w:val="en-US" w:eastAsia="zh-CN"/>
        </w:rPr>
        <w:t xml:space="preserve">分（北京时间）  </w:t>
      </w:r>
    </w:p>
    <w:p>
      <w:pPr>
        <w:bidi w:val="0"/>
        <w:spacing w:line="360" w:lineRule="auto"/>
        <w:ind w:firstLine="480" w:firstLineChars="200"/>
        <w:rPr>
          <w:rFonts w:hint="eastAsia" w:ascii="宋体" w:hAnsi="宋体" w:eastAsia="宋体" w:cs="宋体"/>
          <w:sz w:val="24"/>
          <w:szCs w:val="24"/>
          <w:highlight w:val="none"/>
        </w:rPr>
      </w:pPr>
      <w:r>
        <w:rPr>
          <w:rFonts w:hint="eastAsia" w:ascii="宋体" w:hAnsi="宋体" w:cs="宋体"/>
          <w:b w:val="0"/>
          <w:bCs/>
          <w:kern w:val="0"/>
          <w:sz w:val="24"/>
          <w:szCs w:val="24"/>
          <w:highlight w:val="none"/>
          <w:lang w:val="en-US" w:eastAsia="zh-CN"/>
        </w:rPr>
        <w:t>2.地点：在赢标电子招标采购交易平台（菏泽专区）（http://hz.fzbidding.com）递交加密版电子响应文件</w:t>
      </w:r>
    </w:p>
    <w:p>
      <w:pPr>
        <w:keepNext w:val="0"/>
        <w:keepLines w:val="0"/>
        <w:pageBreakBefore w:val="0"/>
        <w:widowControl w:val="0"/>
        <w:kinsoku/>
        <w:wordWrap/>
        <w:overflowPunct/>
        <w:topLinePunct w:val="0"/>
        <w:autoSpaceDE/>
        <w:autoSpaceDN/>
        <w:bidi w:val="0"/>
        <w:adjustRightInd/>
        <w:snapToGrid/>
        <w:spacing w:line="384" w:lineRule="auto"/>
        <w:ind w:left="0" w:leftChars="0" w:firstLine="0" w:firstLineChars="0"/>
        <w:textAlignment w:val="auto"/>
        <w:rPr>
          <w:rFonts w:hint="eastAsia" w:ascii="宋体" w:hAnsi="宋体" w:eastAsia="宋体" w:cs="宋体"/>
          <w:b/>
          <w:bCs w:val="0"/>
          <w:kern w:val="0"/>
          <w:sz w:val="24"/>
          <w:szCs w:val="24"/>
          <w:highlight w:val="none"/>
          <w:lang w:val="en-US" w:eastAsia="zh-CN"/>
        </w:rPr>
      </w:pPr>
      <w:r>
        <w:rPr>
          <w:rFonts w:hint="eastAsia" w:ascii="宋体" w:hAnsi="宋体" w:eastAsia="宋体" w:cs="宋体"/>
          <w:b/>
          <w:bCs w:val="0"/>
          <w:kern w:val="0"/>
          <w:sz w:val="24"/>
          <w:szCs w:val="24"/>
          <w:highlight w:val="none"/>
          <w:lang w:val="en-US" w:eastAsia="zh-CN"/>
        </w:rPr>
        <w:t xml:space="preserve">五、开启： </w:t>
      </w:r>
    </w:p>
    <w:p>
      <w:pPr>
        <w:bidi w:val="0"/>
        <w:spacing w:line="360" w:lineRule="auto"/>
        <w:ind w:firstLine="480" w:firstLineChars="200"/>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 xml:space="preserve">  1.开启时间：202</w:t>
      </w:r>
      <w:r>
        <w:rPr>
          <w:rFonts w:hint="eastAsia" w:ascii="宋体" w:hAnsi="宋体" w:cs="宋体"/>
          <w:b w:val="0"/>
          <w:bCs/>
          <w:kern w:val="0"/>
          <w:sz w:val="24"/>
          <w:szCs w:val="24"/>
          <w:highlight w:val="none"/>
          <w:lang w:val="en-US" w:eastAsia="zh-CN"/>
        </w:rPr>
        <w:t>2</w:t>
      </w:r>
      <w:r>
        <w:rPr>
          <w:rFonts w:hint="eastAsia" w:ascii="宋体" w:hAnsi="宋体" w:eastAsia="宋体" w:cs="宋体"/>
          <w:b w:val="0"/>
          <w:bCs/>
          <w:kern w:val="0"/>
          <w:sz w:val="24"/>
          <w:szCs w:val="24"/>
          <w:highlight w:val="none"/>
          <w:lang w:val="en-US" w:eastAsia="zh-CN"/>
        </w:rPr>
        <w:t>年</w:t>
      </w:r>
      <w:r>
        <w:rPr>
          <w:rFonts w:hint="eastAsia" w:cs="宋体"/>
          <w:b w:val="0"/>
          <w:bCs/>
          <w:kern w:val="0"/>
          <w:sz w:val="24"/>
          <w:szCs w:val="24"/>
          <w:highlight w:val="none"/>
          <w:lang w:val="en-US" w:eastAsia="zh-CN"/>
        </w:rPr>
        <w:t>11</w:t>
      </w:r>
      <w:r>
        <w:rPr>
          <w:rFonts w:hint="eastAsia" w:ascii="宋体" w:hAnsi="宋体" w:eastAsia="宋体" w:cs="宋体"/>
          <w:b w:val="0"/>
          <w:bCs/>
          <w:kern w:val="0"/>
          <w:sz w:val="24"/>
          <w:szCs w:val="24"/>
          <w:highlight w:val="none"/>
          <w:lang w:val="en-US" w:eastAsia="zh-CN"/>
        </w:rPr>
        <w:t>月</w:t>
      </w:r>
      <w:r>
        <w:rPr>
          <w:rFonts w:hint="eastAsia" w:cs="宋体"/>
          <w:b w:val="0"/>
          <w:bCs/>
          <w:kern w:val="0"/>
          <w:sz w:val="24"/>
          <w:szCs w:val="24"/>
          <w:highlight w:val="none"/>
          <w:lang w:val="en-US" w:eastAsia="zh-CN"/>
        </w:rPr>
        <w:t>15</w:t>
      </w:r>
      <w:r>
        <w:rPr>
          <w:rFonts w:hint="eastAsia" w:ascii="宋体" w:hAnsi="宋体" w:eastAsia="宋体" w:cs="宋体"/>
          <w:b w:val="0"/>
          <w:bCs/>
          <w:kern w:val="0"/>
          <w:sz w:val="24"/>
          <w:szCs w:val="24"/>
          <w:highlight w:val="none"/>
          <w:lang w:val="en-US" w:eastAsia="zh-CN"/>
        </w:rPr>
        <w:t>日</w:t>
      </w:r>
      <w:r>
        <w:rPr>
          <w:rFonts w:hint="eastAsia" w:cs="宋体"/>
          <w:b w:val="0"/>
          <w:bCs/>
          <w:kern w:val="0"/>
          <w:sz w:val="24"/>
          <w:szCs w:val="24"/>
          <w:highlight w:val="none"/>
          <w:lang w:val="en-US" w:eastAsia="zh-CN"/>
        </w:rPr>
        <w:t>09</w:t>
      </w:r>
      <w:r>
        <w:rPr>
          <w:rFonts w:hint="eastAsia" w:ascii="宋体" w:hAnsi="宋体" w:eastAsia="宋体" w:cs="宋体"/>
          <w:b w:val="0"/>
          <w:bCs/>
          <w:kern w:val="0"/>
          <w:sz w:val="24"/>
          <w:szCs w:val="24"/>
          <w:highlight w:val="none"/>
          <w:lang w:val="en-US" w:eastAsia="zh-CN"/>
        </w:rPr>
        <w:t>时</w:t>
      </w:r>
      <w:r>
        <w:rPr>
          <w:rFonts w:hint="eastAsia" w:cs="宋体"/>
          <w:b w:val="0"/>
          <w:bCs/>
          <w:kern w:val="0"/>
          <w:sz w:val="24"/>
          <w:szCs w:val="24"/>
          <w:highlight w:val="none"/>
          <w:lang w:val="en-US" w:eastAsia="zh-CN"/>
        </w:rPr>
        <w:t>30</w:t>
      </w:r>
      <w:r>
        <w:rPr>
          <w:rFonts w:hint="eastAsia" w:ascii="宋体" w:hAnsi="宋体" w:eastAsia="宋体" w:cs="宋体"/>
          <w:b w:val="0"/>
          <w:bCs/>
          <w:kern w:val="0"/>
          <w:sz w:val="24"/>
          <w:szCs w:val="24"/>
          <w:highlight w:val="none"/>
          <w:lang w:val="en-US" w:eastAsia="zh-CN"/>
        </w:rPr>
        <w:t xml:space="preserve">分（北京时间）  </w:t>
      </w:r>
    </w:p>
    <w:p>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cs="宋体"/>
          <w:b/>
          <w:bCs/>
          <w:sz w:val="24"/>
          <w:szCs w:val="24"/>
          <w:lang w:val="en-US" w:eastAsia="zh-CN"/>
        </w:rPr>
      </w:pPr>
      <w:r>
        <w:rPr>
          <w:rFonts w:hint="eastAsia" w:ascii="宋体" w:hAnsi="宋体" w:eastAsia="宋体" w:cs="宋体"/>
          <w:b w:val="0"/>
          <w:bCs/>
          <w:kern w:val="0"/>
          <w:sz w:val="24"/>
          <w:szCs w:val="24"/>
          <w:highlight w:val="none"/>
          <w:lang w:val="en-US" w:eastAsia="zh-CN"/>
        </w:rPr>
        <w:t xml:space="preserve">  2.开启地点：菏泽市公共资源（国有产权）交易中心开标</w:t>
      </w:r>
      <w:r>
        <w:rPr>
          <w:rFonts w:hint="eastAsia" w:cs="宋体"/>
          <w:b w:val="0"/>
          <w:bCs/>
          <w:kern w:val="0"/>
          <w:sz w:val="24"/>
          <w:szCs w:val="24"/>
          <w:highlight w:val="none"/>
          <w:lang w:val="en-US" w:eastAsia="zh-CN"/>
        </w:rPr>
        <w:t>5</w:t>
      </w:r>
      <w:r>
        <w:rPr>
          <w:rFonts w:hint="eastAsia" w:ascii="宋体" w:hAnsi="宋体" w:eastAsia="宋体" w:cs="宋体"/>
          <w:b w:val="0"/>
          <w:bCs/>
          <w:kern w:val="0"/>
          <w:sz w:val="24"/>
          <w:szCs w:val="24"/>
          <w:highlight w:val="none"/>
          <w:lang w:val="en-US" w:eastAsia="zh-CN"/>
        </w:rPr>
        <w:t>室（济南路与钱江路交叉口向南200米路西）、</w:t>
      </w:r>
      <w:r>
        <w:rPr>
          <w:rFonts w:hint="eastAsia" w:ascii="宋体" w:hAnsi="宋体" w:cs="宋体"/>
          <w:b w:val="0"/>
          <w:bCs/>
          <w:kern w:val="0"/>
          <w:sz w:val="24"/>
          <w:szCs w:val="24"/>
          <w:highlight w:val="none"/>
          <w:lang w:val="en-US" w:eastAsia="zh-CN"/>
        </w:rPr>
        <w:t>赢标电子招标采购交易平台（菏泽专区）（http://hz.fzbidding.com）虚拟开标大厅开启</w:t>
      </w:r>
    </w:p>
    <w:p>
      <w:pPr>
        <w:spacing w:line="408" w:lineRule="auto"/>
        <w:ind w:left="0" w:leftChars="0" w:firstLine="0" w:firstLineChars="0"/>
        <w:rPr>
          <w:rFonts w:hint="eastAsia" w:ascii="宋体" w:hAnsi="宋体" w:eastAsia="宋体" w:cs="宋体"/>
          <w:sz w:val="24"/>
          <w:szCs w:val="24"/>
        </w:rPr>
      </w:pPr>
      <w:r>
        <w:rPr>
          <w:rFonts w:hint="eastAsia" w:cs="宋体"/>
          <w:b/>
          <w:bCs/>
          <w:sz w:val="24"/>
          <w:szCs w:val="24"/>
          <w:lang w:val="en-US" w:eastAsia="zh-CN"/>
        </w:rPr>
        <w:t>六</w:t>
      </w:r>
      <w:r>
        <w:rPr>
          <w:rFonts w:hint="eastAsia" w:ascii="宋体" w:hAnsi="宋体" w:eastAsia="宋体" w:cs="宋体"/>
          <w:b/>
          <w:bCs/>
          <w:sz w:val="24"/>
          <w:szCs w:val="24"/>
        </w:rPr>
        <w:t>、公告期限：</w:t>
      </w:r>
      <w:r>
        <w:rPr>
          <w:rFonts w:hint="eastAsia" w:ascii="宋体" w:hAnsi="宋体" w:eastAsia="宋体" w:cs="宋体"/>
          <w:sz w:val="24"/>
          <w:szCs w:val="24"/>
        </w:rPr>
        <w:tab/>
      </w:r>
    </w:p>
    <w:p>
      <w:pPr>
        <w:spacing w:line="408" w:lineRule="auto"/>
        <w:ind w:left="0" w:leftChars="0" w:firstLine="480" w:firstLineChars="200"/>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自本公告发布之日起</w:t>
      </w:r>
      <w:r>
        <w:rPr>
          <w:rFonts w:hint="eastAsia" w:ascii="宋体" w:hAnsi="宋体" w:cs="宋体"/>
          <w:b w:val="0"/>
          <w:bCs/>
          <w:kern w:val="0"/>
          <w:sz w:val="24"/>
          <w:szCs w:val="24"/>
          <w:highlight w:val="none"/>
          <w:lang w:val="en-US" w:eastAsia="zh-CN"/>
        </w:rPr>
        <w:t>3</w:t>
      </w:r>
      <w:r>
        <w:rPr>
          <w:rFonts w:hint="eastAsia" w:ascii="宋体" w:hAnsi="宋体" w:eastAsia="宋体" w:cs="宋体"/>
          <w:b w:val="0"/>
          <w:bCs/>
          <w:kern w:val="0"/>
          <w:sz w:val="24"/>
          <w:szCs w:val="24"/>
          <w:highlight w:val="none"/>
          <w:lang w:val="en-US" w:eastAsia="zh-CN"/>
        </w:rPr>
        <w:t>个工作日。</w:t>
      </w:r>
    </w:p>
    <w:p>
      <w:pPr>
        <w:keepNext w:val="0"/>
        <w:keepLines w:val="0"/>
        <w:pageBreakBefore w:val="0"/>
        <w:widowControl w:val="0"/>
        <w:kinsoku/>
        <w:wordWrap/>
        <w:overflowPunct/>
        <w:topLinePunct w:val="0"/>
        <w:autoSpaceDE/>
        <w:autoSpaceDN/>
        <w:bidi w:val="0"/>
        <w:adjustRightInd/>
        <w:snapToGrid/>
        <w:spacing w:line="384" w:lineRule="auto"/>
        <w:ind w:left="0" w:leftChars="0" w:firstLine="0" w:firstLineChars="0"/>
        <w:textAlignment w:val="auto"/>
        <w:rPr>
          <w:rFonts w:hint="eastAsia" w:ascii="宋体" w:hAnsi="宋体" w:eastAsia="宋体" w:cs="宋体"/>
          <w:b w:val="0"/>
          <w:bCs/>
          <w:kern w:val="0"/>
          <w:sz w:val="24"/>
          <w:szCs w:val="24"/>
          <w:highlight w:val="none"/>
          <w:lang w:val="en-US" w:eastAsia="zh-CN"/>
        </w:rPr>
      </w:pPr>
      <w:r>
        <w:rPr>
          <w:rFonts w:hint="eastAsia" w:ascii="宋体" w:hAnsi="宋体" w:eastAsia="宋体" w:cs="宋体"/>
          <w:b/>
          <w:bCs w:val="0"/>
          <w:kern w:val="0"/>
          <w:sz w:val="24"/>
          <w:szCs w:val="24"/>
          <w:highlight w:val="none"/>
          <w:lang w:val="en-US" w:eastAsia="zh-CN"/>
        </w:rPr>
        <w:t>七、其他补充事宜：</w:t>
      </w:r>
      <w:r>
        <w:rPr>
          <w:rFonts w:hint="eastAsia" w:ascii="宋体" w:hAnsi="宋体" w:eastAsia="宋体" w:cs="宋体"/>
          <w:b w:val="0"/>
          <w:bCs/>
          <w:kern w:val="0"/>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重要说明：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网上交易须知：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1、本项目为网上交易，提交电子响应文件需使用赢标平台——投标客户端经过 ca 锁进行加密，加密后生成的电子响应文件方可上传提交，网站的注册及 CA 的办理过程需一定时间周期，供应商务必在</w:t>
      </w:r>
      <w:r>
        <w:rPr>
          <w:rFonts w:hint="eastAsia" w:ascii="宋体" w:hAnsi="宋体" w:cs="宋体"/>
          <w:b w:val="0"/>
          <w:bCs/>
          <w:kern w:val="0"/>
          <w:sz w:val="24"/>
          <w:szCs w:val="24"/>
          <w:highlight w:val="none"/>
          <w:lang w:val="en-US" w:eastAsia="zh-CN"/>
        </w:rPr>
        <w:t>采购文件规定的时间内</w:t>
      </w:r>
      <w:r>
        <w:rPr>
          <w:rFonts w:hint="eastAsia" w:ascii="宋体" w:hAnsi="宋体" w:eastAsia="宋体" w:cs="宋体"/>
          <w:b w:val="0"/>
          <w:bCs/>
          <w:kern w:val="0"/>
          <w:sz w:val="24"/>
          <w:szCs w:val="24"/>
          <w:highlight w:val="none"/>
          <w:lang w:val="en-US" w:eastAsia="zh-CN"/>
        </w:rPr>
        <w:t>进行网站的注册及CA办理完成，以免造成</w:t>
      </w:r>
      <w:r>
        <w:rPr>
          <w:rFonts w:hint="eastAsia" w:ascii="宋体" w:hAnsi="宋体" w:cs="宋体"/>
          <w:b w:val="0"/>
          <w:bCs/>
          <w:kern w:val="0"/>
          <w:sz w:val="24"/>
          <w:szCs w:val="24"/>
          <w:highlight w:val="none"/>
          <w:lang w:val="en-US" w:eastAsia="zh-CN"/>
        </w:rPr>
        <w:t>投标</w:t>
      </w:r>
      <w:r>
        <w:rPr>
          <w:rFonts w:hint="eastAsia" w:ascii="宋体" w:hAnsi="宋体" w:eastAsia="宋体" w:cs="宋体"/>
          <w:b w:val="0"/>
          <w:bCs/>
          <w:kern w:val="0"/>
          <w:sz w:val="24"/>
          <w:szCs w:val="24"/>
          <w:highlight w:val="none"/>
          <w:lang w:val="en-US" w:eastAsia="zh-CN"/>
        </w:rPr>
        <w:t>失败。未及时进行网站注册及 CA 办理的供应商所造成的投标失败，后果由其自负。（企业CA</w:t>
      </w:r>
      <w:r>
        <w:rPr>
          <w:rFonts w:hint="eastAsia" w:ascii="宋体" w:hAnsi="宋体" w:cs="宋体"/>
          <w:b w:val="0"/>
          <w:bCs/>
          <w:kern w:val="0"/>
          <w:sz w:val="24"/>
          <w:szCs w:val="24"/>
          <w:highlight w:val="none"/>
          <w:lang w:val="en-US" w:eastAsia="zh-CN"/>
        </w:rPr>
        <w:t>办理</w:t>
      </w:r>
      <w:r>
        <w:rPr>
          <w:rFonts w:hint="eastAsia" w:ascii="宋体" w:hAnsi="宋体" w:eastAsia="宋体" w:cs="宋体"/>
          <w:b w:val="0"/>
          <w:bCs/>
          <w:kern w:val="0"/>
          <w:sz w:val="24"/>
          <w:szCs w:val="24"/>
          <w:highlight w:val="none"/>
          <w:lang w:val="en-US" w:eastAsia="zh-CN"/>
        </w:rPr>
        <w:t>注册请于菏泽市公共资源交易中心一楼杜经理联系，电话：15315301315</w:t>
      </w:r>
      <w:r>
        <w:rPr>
          <w:rFonts w:hint="eastAsia" w:ascii="宋体" w:hAnsi="宋体" w:cs="宋体"/>
          <w:b w:val="0"/>
          <w:bCs/>
          <w:kern w:val="0"/>
          <w:sz w:val="24"/>
          <w:szCs w:val="24"/>
          <w:highlight w:val="none"/>
          <w:lang w:val="en-US" w:eastAsia="zh-CN"/>
        </w:rPr>
        <w:t>）</w:t>
      </w:r>
      <w:r>
        <w:rPr>
          <w:rFonts w:hint="eastAsia" w:ascii="宋体" w:hAnsi="宋体" w:eastAsia="宋体" w:cs="宋体"/>
          <w:b w:val="0"/>
          <w:bCs/>
          <w:kern w:val="0"/>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2、</w:t>
      </w:r>
      <w:r>
        <w:rPr>
          <w:rFonts w:hint="eastAsia" w:ascii="宋体" w:hAnsi="宋体" w:cs="宋体"/>
          <w:b w:val="0"/>
          <w:bCs/>
          <w:kern w:val="0"/>
          <w:sz w:val="24"/>
          <w:szCs w:val="24"/>
          <w:highlight w:val="none"/>
          <w:lang w:val="en-US" w:eastAsia="zh-CN"/>
        </w:rPr>
        <w:t>竞争性磋商</w:t>
      </w:r>
      <w:r>
        <w:rPr>
          <w:rFonts w:hint="eastAsia" w:ascii="宋体" w:hAnsi="宋体" w:eastAsia="宋体" w:cs="宋体"/>
          <w:b w:val="0"/>
          <w:bCs/>
          <w:kern w:val="0"/>
          <w:sz w:val="24"/>
          <w:szCs w:val="24"/>
          <w:highlight w:val="none"/>
          <w:lang w:val="en-US" w:eastAsia="zh-CN"/>
        </w:rPr>
        <w:t>文件一经在中国山东政府采购网、 菏泽市政府采购公共服务平台、菏泽职业学院官网、赢标平台菏泽专区 http://hz.fzbidding.com发布，视作已发放给所有供应商（发布时间即为发出磋商文件的时间），各供应商应随时关注项目信息并及时在中国山东政府采购网、 菏泽市政府采购公共服务平台、菏泽职业学院官网、赢标平台菏泽专区 http://hz.fzbidding.com下载电子版</w:t>
      </w:r>
      <w:r>
        <w:rPr>
          <w:rFonts w:hint="eastAsia" w:ascii="宋体" w:hAnsi="宋体" w:cs="宋体"/>
          <w:b w:val="0"/>
          <w:bCs/>
          <w:kern w:val="0"/>
          <w:sz w:val="24"/>
          <w:szCs w:val="24"/>
          <w:highlight w:val="none"/>
          <w:lang w:val="en-US" w:eastAsia="zh-CN"/>
        </w:rPr>
        <w:t>竞争性磋商文件</w:t>
      </w:r>
      <w:r>
        <w:rPr>
          <w:rFonts w:hint="eastAsia" w:ascii="宋体" w:hAnsi="宋体" w:eastAsia="宋体" w:cs="宋体"/>
          <w:b w:val="0"/>
          <w:bCs/>
          <w:kern w:val="0"/>
          <w:sz w:val="24"/>
          <w:szCs w:val="24"/>
          <w:highlight w:val="none"/>
          <w:lang w:val="en-US" w:eastAsia="zh-CN"/>
        </w:rPr>
        <w:t>和各类澄清答疑，否则所造成的一切后果由供应商自负。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kern w:val="0"/>
          <w:sz w:val="24"/>
          <w:szCs w:val="24"/>
          <w:highlight w:val="none"/>
          <w:lang w:val="en-US" w:eastAsia="zh-CN"/>
        </w:rPr>
      </w:pPr>
      <w:r>
        <w:rPr>
          <w:rFonts w:hint="eastAsia" w:ascii="宋体" w:hAnsi="宋体" w:cs="宋体"/>
          <w:b w:val="0"/>
          <w:bCs/>
          <w:kern w:val="0"/>
          <w:sz w:val="24"/>
          <w:szCs w:val="24"/>
          <w:highlight w:val="none"/>
          <w:lang w:val="en-US" w:eastAsia="zh-CN"/>
        </w:rPr>
        <w:t>3、</w:t>
      </w:r>
      <w:r>
        <w:rPr>
          <w:rFonts w:hint="eastAsia" w:ascii="宋体" w:hAnsi="宋体" w:eastAsia="宋体" w:cs="宋体"/>
          <w:b w:val="0"/>
          <w:bCs/>
          <w:kern w:val="0"/>
          <w:sz w:val="24"/>
          <w:szCs w:val="24"/>
          <w:highlight w:val="none"/>
          <w:lang w:val="en-US" w:eastAsia="zh-CN"/>
        </w:rPr>
        <w:t>网站响应文件的制作过程需一定的学习时间，供应商务必在开标截止时间前进行投标相关文件的上传，以免造成投标失败。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4、参与政府采购活动的供应商原则上限1人作为供应商代表参加报价会议，并充分考虑预留合理时间以接受菏泽市疫情防控的登记检查程序，如：任何人进入交易场所需自佩戴防护口罩，自觉接受防控工作人员的消毒、体温监测、健康行程码查询、身份证登记、电话号码留存、核查核酸检测结果（按照菏泽疫情防控政策要求执行）等。严禁在公共场所吸烟，不聚集扎堆，控制好人员距离。如体温监测异常及疑似患病人员将上报社区及防疫部门，并到指定医院检测就医。由此产生的任何结果自行承担。</w:t>
      </w:r>
    </w:p>
    <w:p>
      <w:pPr>
        <w:keepNext w:val="0"/>
        <w:keepLines w:val="0"/>
        <w:pageBreakBefore w:val="0"/>
        <w:widowControl w:val="0"/>
        <w:kinsoku/>
        <w:wordWrap/>
        <w:overflowPunct/>
        <w:topLinePunct w:val="0"/>
        <w:autoSpaceDE/>
        <w:autoSpaceDN/>
        <w:bidi w:val="0"/>
        <w:adjustRightInd/>
        <w:snapToGrid/>
        <w:spacing w:line="384" w:lineRule="auto"/>
        <w:ind w:left="0" w:leftChars="0" w:firstLine="0" w:firstLineChars="0"/>
        <w:textAlignment w:val="auto"/>
        <w:rPr>
          <w:rFonts w:hint="eastAsia" w:ascii="宋体" w:hAnsi="宋体" w:eastAsia="宋体" w:cs="宋体"/>
          <w:b/>
          <w:bCs w:val="0"/>
          <w:kern w:val="0"/>
          <w:sz w:val="24"/>
          <w:szCs w:val="24"/>
          <w:highlight w:val="none"/>
          <w:lang w:val="en-US" w:eastAsia="zh-CN"/>
        </w:rPr>
      </w:pPr>
      <w:r>
        <w:rPr>
          <w:rFonts w:hint="eastAsia" w:ascii="宋体" w:hAnsi="宋体" w:eastAsia="宋体" w:cs="宋体"/>
          <w:b/>
          <w:bCs w:val="0"/>
          <w:kern w:val="0"/>
          <w:sz w:val="24"/>
          <w:szCs w:val="24"/>
          <w:highlight w:val="none"/>
          <w:lang w:val="en-US" w:eastAsia="zh-CN"/>
        </w:rPr>
        <w:t xml:space="preserve">八、对本次招标提出询问，请按以下方式联系： </w:t>
      </w:r>
    </w:p>
    <w:p>
      <w:pPr>
        <w:keepNext w:val="0"/>
        <w:keepLines w:val="0"/>
        <w:pageBreakBefore w:val="0"/>
        <w:widowControl w:val="0"/>
        <w:kinsoku/>
        <w:wordWrap/>
        <w:overflowPunct/>
        <w:topLinePunct w:val="0"/>
        <w:autoSpaceDE/>
        <w:autoSpaceDN/>
        <w:bidi w:val="0"/>
        <w:adjustRightInd/>
        <w:snapToGrid/>
        <w:spacing w:line="384" w:lineRule="auto"/>
        <w:ind w:left="0" w:leftChars="0" w:firstLine="0" w:firstLineChars="0"/>
        <w:textAlignment w:val="auto"/>
        <w:rPr>
          <w:rFonts w:hint="eastAsia" w:ascii="宋体" w:hAnsi="宋体" w:eastAsia="宋体" w:cs="宋体"/>
          <w:b/>
          <w:bCs w:val="0"/>
          <w:kern w:val="0"/>
          <w:sz w:val="24"/>
          <w:szCs w:val="24"/>
          <w:highlight w:val="none"/>
          <w:lang w:val="en-US" w:eastAsia="zh-CN"/>
        </w:rPr>
      </w:pPr>
      <w:r>
        <w:rPr>
          <w:rFonts w:hint="eastAsia" w:ascii="宋体" w:hAnsi="宋体" w:eastAsia="宋体" w:cs="宋体"/>
          <w:b/>
          <w:bCs w:val="0"/>
          <w:kern w:val="0"/>
          <w:sz w:val="24"/>
          <w:szCs w:val="24"/>
          <w:highlight w:val="none"/>
          <w:lang w:val="en-US" w:eastAsia="zh-CN"/>
        </w:rPr>
        <w:t xml:space="preserve">1、采购人信息 </w:t>
      </w:r>
    </w:p>
    <w:p>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kern w:val="0"/>
          <w:sz w:val="24"/>
          <w:szCs w:val="24"/>
          <w:highlight w:val="none"/>
          <w:lang w:val="en-US" w:eastAsia="zh-CN"/>
        </w:rPr>
        <w:t>名    称：</w:t>
      </w:r>
      <w:r>
        <w:rPr>
          <w:rFonts w:hint="eastAsia" w:ascii="宋体" w:hAnsi="宋体" w:cs="宋体"/>
          <w:color w:val="000000"/>
          <w:kern w:val="0"/>
          <w:sz w:val="24"/>
          <w:szCs w:val="24"/>
          <w:highlight w:val="none"/>
          <w:lang w:val="en-US" w:eastAsia="zh-CN" w:bidi="ar-SA"/>
        </w:rPr>
        <w:t>菏泽职业学院</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地    址：</w:t>
      </w:r>
      <w:r>
        <w:rPr>
          <w:rFonts w:hint="eastAsia" w:ascii="宋体" w:hAnsi="宋体" w:cs="宋体"/>
          <w:sz w:val="24"/>
          <w:szCs w:val="24"/>
          <w:highlight w:val="none"/>
          <w:lang w:val="en-US" w:eastAsia="zh-CN"/>
        </w:rPr>
        <w:t>菏泽市牡丹区长城路999号</w:t>
      </w:r>
      <w:r>
        <w:rPr>
          <w:rFonts w:hint="eastAsia" w:ascii="宋体" w:hAnsi="宋体" w:eastAsia="宋体" w:cs="宋体"/>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4" w:lineRule="auto"/>
        <w:textAlignment w:val="auto"/>
        <w:rPr>
          <w:rFonts w:hint="default" w:ascii="宋体" w:hAnsi="宋体" w:eastAsia="宋体" w:cs="宋体"/>
          <w:b w:val="0"/>
          <w:bCs/>
          <w:kern w:val="0"/>
          <w:sz w:val="24"/>
          <w:szCs w:val="24"/>
          <w:highlight w:val="none"/>
          <w:lang w:val="en-US" w:eastAsia="zh-CN"/>
        </w:rPr>
      </w:pPr>
      <w:r>
        <w:rPr>
          <w:rFonts w:hint="eastAsia" w:ascii="宋体" w:hAnsi="宋体" w:cs="宋体"/>
          <w:b w:val="0"/>
          <w:bCs/>
          <w:kern w:val="0"/>
          <w:sz w:val="24"/>
          <w:szCs w:val="24"/>
          <w:highlight w:val="none"/>
          <w:lang w:val="en-US" w:eastAsia="zh-CN"/>
        </w:rPr>
        <w:t>联 系 人：</w:t>
      </w:r>
      <w:r>
        <w:rPr>
          <w:rFonts w:hint="eastAsia" w:cs="宋体"/>
          <w:b w:val="0"/>
          <w:bCs/>
          <w:kern w:val="0"/>
          <w:sz w:val="24"/>
          <w:szCs w:val="24"/>
          <w:highlight w:val="none"/>
          <w:lang w:val="en-US" w:eastAsia="zh-CN"/>
        </w:rPr>
        <w:t xml:space="preserve">李老师          </w:t>
      </w:r>
      <w:r>
        <w:rPr>
          <w:rFonts w:hint="eastAsia" w:ascii="宋体" w:hAnsi="宋体" w:cs="宋体"/>
          <w:b w:val="0"/>
          <w:bCs/>
          <w:kern w:val="0"/>
          <w:sz w:val="24"/>
          <w:szCs w:val="24"/>
          <w:highlight w:val="none"/>
          <w:lang w:val="en-US" w:eastAsia="zh-CN"/>
        </w:rPr>
        <w:t>汪</w:t>
      </w:r>
      <w:r>
        <w:rPr>
          <w:rFonts w:hint="eastAsia" w:cs="宋体"/>
          <w:b w:val="0"/>
          <w:bCs/>
          <w:kern w:val="0"/>
          <w:sz w:val="24"/>
          <w:szCs w:val="24"/>
          <w:highlight w:val="none"/>
          <w:lang w:val="en-US" w:eastAsia="zh-CN"/>
        </w:rPr>
        <w:t>老师</w:t>
      </w:r>
      <w:r>
        <w:rPr>
          <w:rFonts w:hint="eastAsia"/>
          <w:color w:val="000000"/>
          <w:kern w:val="2"/>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4" w:lineRule="auto"/>
        <w:textAlignment w:val="auto"/>
        <w:rPr>
          <w:rFonts w:hint="default"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联系方式：</w:t>
      </w:r>
      <w:r>
        <w:rPr>
          <w:rFonts w:hint="eastAsia" w:cs="Times New Roman"/>
          <w:color w:val="000000"/>
          <w:sz w:val="24"/>
          <w:szCs w:val="24"/>
          <w:highlight w:val="none"/>
          <w:lang w:val="en-US" w:eastAsia="zh-CN"/>
        </w:rPr>
        <w:t xml:space="preserve">15865082978     </w:t>
      </w:r>
      <w:r>
        <w:rPr>
          <w:rFonts w:hint="eastAsia" w:ascii="宋体" w:hAnsi="宋体" w:eastAsia="宋体" w:cs="宋体"/>
          <w:b w:val="0"/>
          <w:bCs/>
          <w:kern w:val="0"/>
          <w:sz w:val="24"/>
          <w:szCs w:val="24"/>
          <w:highlight w:val="none"/>
          <w:lang w:val="en-US" w:eastAsia="zh-CN"/>
        </w:rPr>
        <w:t>18653010630</w:t>
      </w:r>
    </w:p>
    <w:p>
      <w:pPr>
        <w:keepNext w:val="0"/>
        <w:keepLines w:val="0"/>
        <w:pageBreakBefore w:val="0"/>
        <w:widowControl w:val="0"/>
        <w:kinsoku/>
        <w:wordWrap/>
        <w:overflowPunct/>
        <w:topLinePunct w:val="0"/>
        <w:autoSpaceDE/>
        <w:autoSpaceDN/>
        <w:bidi w:val="0"/>
        <w:adjustRightInd/>
        <w:snapToGrid/>
        <w:spacing w:line="384" w:lineRule="auto"/>
        <w:ind w:left="0" w:leftChars="0" w:firstLine="0" w:firstLineChars="0"/>
        <w:textAlignment w:val="auto"/>
        <w:rPr>
          <w:rFonts w:hint="eastAsia" w:ascii="宋体" w:hAnsi="宋体" w:eastAsia="宋体" w:cs="宋体"/>
          <w:b/>
          <w:bCs w:val="0"/>
          <w:kern w:val="0"/>
          <w:sz w:val="24"/>
          <w:szCs w:val="24"/>
          <w:highlight w:val="none"/>
          <w:lang w:val="en-US" w:eastAsia="zh-CN"/>
        </w:rPr>
      </w:pPr>
      <w:r>
        <w:rPr>
          <w:rFonts w:hint="eastAsia" w:ascii="宋体" w:hAnsi="宋体" w:eastAsia="宋体" w:cs="宋体"/>
          <w:b/>
          <w:bCs w:val="0"/>
          <w:kern w:val="0"/>
          <w:sz w:val="24"/>
          <w:szCs w:val="24"/>
          <w:highlight w:val="none"/>
          <w:lang w:val="en-US" w:eastAsia="zh-CN"/>
        </w:rPr>
        <w:t xml:space="preserve">2、采购代理机构 </w:t>
      </w:r>
    </w:p>
    <w:p>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名    称：</w:t>
      </w:r>
      <w:r>
        <w:rPr>
          <w:rFonts w:hint="eastAsia" w:ascii="宋体" w:hAnsi="宋体" w:cs="宋体"/>
          <w:b w:val="0"/>
          <w:bCs/>
          <w:kern w:val="0"/>
          <w:sz w:val="24"/>
          <w:szCs w:val="24"/>
          <w:highlight w:val="none"/>
          <w:lang w:val="en-US" w:eastAsia="zh-CN"/>
        </w:rPr>
        <w:t>泰安市建科建设项目管理有限公司</w:t>
      </w:r>
      <w:r>
        <w:rPr>
          <w:rFonts w:hint="eastAsia" w:ascii="宋体" w:hAnsi="宋体" w:eastAsia="宋体" w:cs="宋体"/>
          <w:b w:val="0"/>
          <w:bCs/>
          <w:kern w:val="0"/>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地    址：</w:t>
      </w:r>
      <w:r>
        <w:rPr>
          <w:rFonts w:hint="eastAsia" w:ascii="宋体" w:hAnsi="宋体" w:cs="宋体"/>
          <w:b w:val="0"/>
          <w:bCs/>
          <w:kern w:val="0"/>
          <w:sz w:val="24"/>
          <w:szCs w:val="24"/>
          <w:highlight w:val="none"/>
          <w:lang w:val="en-US" w:eastAsia="zh-CN"/>
        </w:rPr>
        <w:t>菏泽市牡丹区毅德城B5区17栋1024号</w:t>
      </w:r>
      <w:r>
        <w:rPr>
          <w:rFonts w:hint="eastAsia" w:ascii="宋体" w:hAnsi="宋体" w:eastAsia="宋体" w:cs="宋体"/>
          <w:b w:val="0"/>
          <w:bCs/>
          <w:kern w:val="0"/>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 xml:space="preserve">联系方式：18053093376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val="0"/>
          <w:kern w:val="0"/>
          <w:sz w:val="24"/>
          <w:szCs w:val="24"/>
          <w:highlight w:val="none"/>
          <w:lang w:val="en-US" w:eastAsia="zh-CN"/>
        </w:rPr>
      </w:pPr>
      <w:r>
        <w:rPr>
          <w:rFonts w:hint="eastAsia" w:ascii="宋体" w:hAnsi="宋体" w:eastAsia="宋体" w:cs="宋体"/>
          <w:b/>
          <w:bCs w:val="0"/>
          <w:kern w:val="0"/>
          <w:sz w:val="24"/>
          <w:szCs w:val="24"/>
          <w:highlight w:val="none"/>
          <w:lang w:val="en-US" w:eastAsia="zh-CN"/>
        </w:rPr>
        <w:t xml:space="preserve">3、项目联系方式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b w:val="0"/>
          <w:bCs w:val="0"/>
          <w:sz w:val="24"/>
          <w:szCs w:val="24"/>
          <w:highlight w:val="none"/>
          <w:lang w:val="en-US" w:eastAsia="zh-CN"/>
        </w:rPr>
      </w:pPr>
      <w:r>
        <w:rPr>
          <w:rFonts w:hint="eastAsia" w:ascii="宋体" w:hAnsi="宋体" w:eastAsia="宋体" w:cs="宋体"/>
          <w:b w:val="0"/>
          <w:bCs/>
          <w:kern w:val="0"/>
          <w:sz w:val="24"/>
          <w:szCs w:val="24"/>
          <w:highlight w:val="none"/>
          <w:lang w:val="en-US" w:eastAsia="zh-CN"/>
        </w:rPr>
        <w:t>项目联系人：</w:t>
      </w:r>
      <w:r>
        <w:rPr>
          <w:rFonts w:hint="eastAsia" w:cs="宋体"/>
          <w:b w:val="0"/>
          <w:bCs w:val="0"/>
          <w:sz w:val="24"/>
          <w:szCs w:val="24"/>
          <w:highlight w:val="none"/>
          <w:lang w:val="en-US" w:eastAsia="zh-CN"/>
        </w:rPr>
        <w:t>李文丹</w:t>
      </w:r>
    </w:p>
    <w:p>
      <w:pPr>
        <w:spacing w:line="360" w:lineRule="auto"/>
        <w:ind w:firstLine="410" w:firstLineChars="171"/>
        <w:rPr>
          <w:rFonts w:hint="eastAsia" w:ascii="宋体" w:hAnsi="宋体" w:eastAsia="宋体" w:cs="宋体"/>
          <w:kern w:val="0"/>
          <w:sz w:val="24"/>
        </w:rPr>
      </w:pPr>
      <w:r>
        <w:rPr>
          <w:rFonts w:hint="eastAsia" w:ascii="宋体" w:hAnsi="宋体" w:eastAsia="宋体" w:cs="宋体"/>
          <w:b w:val="0"/>
          <w:bCs/>
          <w:kern w:val="0"/>
          <w:sz w:val="24"/>
          <w:szCs w:val="24"/>
          <w:highlight w:val="none"/>
          <w:lang w:val="en-US" w:eastAsia="zh-CN"/>
        </w:rPr>
        <w:t>联系方式：18053093376</w:t>
      </w:r>
      <w:r>
        <w:rPr>
          <w:rFonts w:hint="eastAsia" w:ascii="宋体" w:hAnsi="宋体" w:eastAsia="宋体" w:cs="宋体"/>
          <w:kern w:val="0"/>
          <w:sz w:val="24"/>
        </w:rPr>
        <w:br w:type="page"/>
      </w:r>
    </w:p>
    <w:p>
      <w:pPr>
        <w:pStyle w:val="3"/>
        <w:numPr>
          <w:ilvl w:val="0"/>
          <w:numId w:val="4"/>
        </w:numPr>
        <w:spacing w:line="348" w:lineRule="auto"/>
        <w:rPr>
          <w:rFonts w:hint="eastAsia" w:ascii="宋体" w:hAnsi="宋体" w:eastAsia="宋体" w:cs="宋体"/>
          <w:sz w:val="36"/>
          <w:szCs w:val="36"/>
        </w:rPr>
      </w:pPr>
      <w:bookmarkStart w:id="4" w:name="_Toc197"/>
      <w:bookmarkStart w:id="5" w:name="_Toc10872"/>
      <w:bookmarkStart w:id="6" w:name="_Toc31489_WPSOffice_Level1"/>
      <w:bookmarkStart w:id="7" w:name="_Toc456_WPSOffice_Level1"/>
      <w:bookmarkStart w:id="8" w:name="_Toc4646"/>
      <w:bookmarkStart w:id="9" w:name="_Toc20132"/>
      <w:r>
        <w:rPr>
          <w:rFonts w:hint="eastAsia" w:ascii="宋体" w:hAnsi="宋体" w:eastAsia="宋体" w:cs="宋体"/>
          <w:sz w:val="36"/>
          <w:szCs w:val="36"/>
        </w:rPr>
        <w:t>供应商须知</w:t>
      </w:r>
      <w:bookmarkEnd w:id="4"/>
      <w:bookmarkEnd w:id="5"/>
      <w:bookmarkEnd w:id="6"/>
      <w:bookmarkEnd w:id="7"/>
      <w:bookmarkEnd w:id="8"/>
      <w:bookmarkEnd w:id="9"/>
    </w:p>
    <w:p>
      <w:pPr>
        <w:spacing w:line="360" w:lineRule="auto"/>
        <w:jc w:val="center"/>
        <w:rPr>
          <w:rFonts w:hint="eastAsia" w:ascii="宋体" w:hAnsi="宋体" w:eastAsia="宋体" w:cs="宋体"/>
          <w:b/>
          <w:bCs/>
          <w:sz w:val="24"/>
        </w:rPr>
      </w:pPr>
      <w:r>
        <w:rPr>
          <w:rFonts w:hint="eastAsia" w:ascii="宋体" w:hAnsi="宋体" w:eastAsia="宋体" w:cs="宋体"/>
          <w:b/>
          <w:bCs/>
          <w:sz w:val="24"/>
        </w:rPr>
        <w:t>供应商须知前附表</w:t>
      </w:r>
    </w:p>
    <w:tbl>
      <w:tblPr>
        <w:tblStyle w:val="22"/>
        <w:tblW w:w="97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729"/>
        <w:gridCol w:w="7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42"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729"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b/>
                <w:sz w:val="24"/>
                <w:szCs w:val="24"/>
              </w:rPr>
            </w:pPr>
            <w:r>
              <w:rPr>
                <w:rFonts w:hint="eastAsia" w:ascii="宋体" w:hAnsi="宋体" w:eastAsia="宋体" w:cs="宋体"/>
                <w:b/>
                <w:sz w:val="24"/>
                <w:szCs w:val="24"/>
              </w:rPr>
              <w:t>名 称</w:t>
            </w:r>
          </w:p>
        </w:tc>
        <w:tc>
          <w:tcPr>
            <w:tcW w:w="7288"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rPr>
            </w:pPr>
            <w:r>
              <w:rPr>
                <w:rFonts w:hint="eastAsia" w:ascii="宋体" w:hAnsi="宋体" w:eastAsia="宋体" w:cs="宋体"/>
                <w:b/>
                <w:sz w:val="24"/>
                <w:szCs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742" w:type="dxa"/>
            <w:noWrap/>
            <w:vAlign w:val="center"/>
          </w:tcPr>
          <w:p>
            <w:pPr>
              <w:pageBreakBefore w:val="0"/>
              <w:numPr>
                <w:ilvl w:val="0"/>
                <w:numId w:val="0"/>
              </w:numPr>
              <w:kinsoku/>
              <w:wordWrap/>
              <w:overflowPunct/>
              <w:topLinePunct w:val="0"/>
              <w:autoSpaceDE/>
              <w:autoSpaceDN/>
              <w:bidi w:val="0"/>
              <w:spacing w:beforeAutospacing="0" w:line="440" w:lineRule="exact"/>
              <w:ind w:leftChars="0"/>
              <w:jc w:val="center"/>
              <w:rPr>
                <w:rFonts w:hint="eastAsia" w:ascii="宋体" w:hAnsi="宋体" w:eastAsia="宋体" w:cs="宋体"/>
                <w:sz w:val="24"/>
                <w:szCs w:val="24"/>
                <w:lang w:val="en-US" w:eastAsia="zh-CN"/>
              </w:rPr>
            </w:pPr>
            <w:r>
              <w:rPr>
                <w:rFonts w:hint="eastAsia" w:cs="宋体"/>
                <w:sz w:val="24"/>
                <w:szCs w:val="24"/>
                <w:lang w:val="en-US" w:eastAsia="zh-CN"/>
              </w:rPr>
              <w:t>1</w:t>
            </w:r>
          </w:p>
        </w:tc>
        <w:tc>
          <w:tcPr>
            <w:tcW w:w="1729"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采购人</w:t>
            </w:r>
          </w:p>
        </w:tc>
        <w:tc>
          <w:tcPr>
            <w:tcW w:w="7288" w:type="dxa"/>
            <w:noWrap/>
            <w:vAlign w:val="center"/>
          </w:tcPr>
          <w:p>
            <w:pPr>
              <w:pageBreakBefore w:val="0"/>
              <w:kinsoku/>
              <w:wordWrap/>
              <w:overflowPunct/>
              <w:topLinePunct w:val="0"/>
              <w:autoSpaceDE/>
              <w:autoSpaceDN/>
              <w:bidi w:val="0"/>
              <w:spacing w:beforeAutospacing="0" w:line="440" w:lineRule="exact"/>
              <w:ind w:left="0"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采购人 ：</w:t>
            </w:r>
            <w:r>
              <w:rPr>
                <w:rFonts w:hint="eastAsia" w:cs="宋体"/>
                <w:sz w:val="24"/>
                <w:szCs w:val="24"/>
                <w:highlight w:val="none"/>
                <w:lang w:eastAsia="zh-CN"/>
              </w:rPr>
              <w:t>菏泽职业学院</w:t>
            </w:r>
          </w:p>
          <w:p>
            <w:pPr>
              <w:pageBreakBefore w:val="0"/>
              <w:kinsoku/>
              <w:wordWrap/>
              <w:overflowPunct/>
              <w:topLinePunct w:val="0"/>
              <w:autoSpaceDE/>
              <w:autoSpaceDN/>
              <w:bidi w:val="0"/>
              <w:spacing w:beforeAutospacing="0" w:line="440" w:lineRule="exact"/>
              <w:ind w:left="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lang w:val="en-US" w:eastAsia="zh-CN"/>
              </w:rPr>
              <w:t>菏泽市牡丹区长城路999号</w:t>
            </w:r>
          </w:p>
          <w:p>
            <w:pPr>
              <w:pageBreakBefore w:val="0"/>
              <w:kinsoku/>
              <w:wordWrap/>
              <w:overflowPunct/>
              <w:topLinePunct w:val="0"/>
              <w:autoSpaceDE/>
              <w:autoSpaceDN/>
              <w:bidi w:val="0"/>
              <w:spacing w:beforeAutospacing="0" w:line="440" w:lineRule="exact"/>
              <w:ind w:left="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联 系 人：李老师          汪老师 </w:t>
            </w:r>
          </w:p>
          <w:p>
            <w:pPr>
              <w:pageBreakBefore w:val="0"/>
              <w:kinsoku/>
              <w:wordWrap/>
              <w:overflowPunct/>
              <w:topLinePunct w:val="0"/>
              <w:autoSpaceDE/>
              <w:autoSpaceDN/>
              <w:bidi w:val="0"/>
              <w:spacing w:beforeAutospacing="0" w:line="440" w:lineRule="exact"/>
              <w:ind w:left="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联系方式：15865082978     18653010630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742" w:type="dxa"/>
            <w:noWrap/>
            <w:vAlign w:val="center"/>
          </w:tcPr>
          <w:p>
            <w:pPr>
              <w:pageBreakBefore w:val="0"/>
              <w:numPr>
                <w:ilvl w:val="0"/>
                <w:numId w:val="0"/>
              </w:numPr>
              <w:kinsoku/>
              <w:wordWrap/>
              <w:overflowPunct/>
              <w:topLinePunct w:val="0"/>
              <w:autoSpaceDE/>
              <w:autoSpaceDN/>
              <w:bidi w:val="0"/>
              <w:spacing w:beforeAutospacing="0" w:line="440" w:lineRule="exact"/>
              <w:ind w:leftChars="0"/>
              <w:jc w:val="center"/>
              <w:rPr>
                <w:rFonts w:hint="default" w:ascii="宋体" w:hAnsi="宋体" w:eastAsia="宋体" w:cs="宋体"/>
                <w:sz w:val="24"/>
                <w:szCs w:val="24"/>
                <w:lang w:val="en-US" w:eastAsia="zh-CN"/>
              </w:rPr>
            </w:pPr>
            <w:r>
              <w:rPr>
                <w:rFonts w:hint="eastAsia" w:cs="宋体"/>
                <w:sz w:val="24"/>
                <w:szCs w:val="24"/>
                <w:lang w:val="en-US" w:eastAsia="zh-CN"/>
              </w:rPr>
              <w:t>2</w:t>
            </w:r>
          </w:p>
        </w:tc>
        <w:tc>
          <w:tcPr>
            <w:tcW w:w="1729"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采购代理</w:t>
            </w:r>
          </w:p>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机构</w:t>
            </w:r>
          </w:p>
        </w:tc>
        <w:tc>
          <w:tcPr>
            <w:tcW w:w="7288" w:type="dxa"/>
            <w:noWrap/>
            <w:vAlign w:val="center"/>
          </w:tcPr>
          <w:p>
            <w:pPr>
              <w:pageBreakBefore w:val="0"/>
              <w:kinsoku/>
              <w:wordWrap/>
              <w:overflowPunct/>
              <w:topLinePunct w:val="0"/>
              <w:autoSpaceDE/>
              <w:autoSpaceDN/>
              <w:bidi w:val="0"/>
              <w:spacing w:beforeAutospacing="0" w:line="440" w:lineRule="exact"/>
              <w:ind w:left="0" w:firstLine="0" w:firstLineChars="0"/>
              <w:rPr>
                <w:rFonts w:hint="eastAsia"/>
                <w:sz w:val="24"/>
                <w:szCs w:val="24"/>
                <w:lang w:eastAsia="zh-CN"/>
              </w:rPr>
            </w:pPr>
            <w:bookmarkStart w:id="10" w:name="_Toc524081077"/>
            <w:r>
              <w:rPr>
                <w:rFonts w:hint="eastAsia"/>
                <w:sz w:val="24"/>
                <w:szCs w:val="24"/>
              </w:rPr>
              <w:t>采购代理机构：</w:t>
            </w:r>
            <w:bookmarkEnd w:id="10"/>
            <w:r>
              <w:rPr>
                <w:rFonts w:hint="eastAsia"/>
                <w:sz w:val="24"/>
                <w:szCs w:val="24"/>
                <w:lang w:eastAsia="zh-CN"/>
              </w:rPr>
              <w:t>泰安市建科建设项目管理有限公司</w:t>
            </w:r>
          </w:p>
          <w:p>
            <w:pPr>
              <w:pageBreakBefore w:val="0"/>
              <w:kinsoku/>
              <w:wordWrap/>
              <w:overflowPunct/>
              <w:topLinePunct w:val="0"/>
              <w:autoSpaceDE/>
              <w:autoSpaceDN/>
              <w:bidi w:val="0"/>
              <w:spacing w:beforeAutospacing="0" w:line="440" w:lineRule="exact"/>
              <w:ind w:left="0" w:firstLine="0" w:firstLineChars="0"/>
              <w:rPr>
                <w:rFonts w:hint="eastAsia"/>
                <w:sz w:val="24"/>
                <w:szCs w:val="24"/>
                <w:lang w:eastAsia="zh-CN"/>
              </w:rPr>
            </w:pPr>
            <w:bookmarkStart w:id="11" w:name="_Toc524081078"/>
            <w:r>
              <w:rPr>
                <w:rFonts w:hint="eastAsia"/>
                <w:sz w:val="24"/>
                <w:szCs w:val="24"/>
              </w:rPr>
              <w:t>地址：</w:t>
            </w:r>
            <w:bookmarkEnd w:id="11"/>
            <w:bookmarkStart w:id="12" w:name="_Toc524081079"/>
            <w:r>
              <w:rPr>
                <w:rFonts w:hint="eastAsia"/>
                <w:sz w:val="24"/>
                <w:szCs w:val="24"/>
                <w:lang w:eastAsia="zh-CN"/>
              </w:rPr>
              <w:t>菏泽市牡丹区毅德城B5区17栋1024号</w:t>
            </w:r>
          </w:p>
          <w:bookmarkEnd w:id="12"/>
          <w:p>
            <w:pPr>
              <w:pageBreakBefore w:val="0"/>
              <w:kinsoku/>
              <w:wordWrap/>
              <w:overflowPunct/>
              <w:topLinePunct w:val="0"/>
              <w:autoSpaceDE/>
              <w:autoSpaceDN/>
              <w:bidi w:val="0"/>
              <w:spacing w:beforeAutospacing="0" w:line="440" w:lineRule="exact"/>
              <w:ind w:left="0" w:firstLine="0" w:firstLineChars="0"/>
              <w:rPr>
                <w:rFonts w:hint="eastAsia"/>
                <w:sz w:val="24"/>
                <w:szCs w:val="24"/>
              </w:rPr>
            </w:pPr>
            <w:r>
              <w:rPr>
                <w:rFonts w:hint="eastAsia"/>
                <w:sz w:val="24"/>
                <w:szCs w:val="24"/>
              </w:rPr>
              <w:t>联 系 人：</w:t>
            </w:r>
            <w:r>
              <w:rPr>
                <w:rFonts w:hint="eastAsia"/>
                <w:sz w:val="24"/>
                <w:szCs w:val="24"/>
                <w:lang w:eastAsia="zh-CN"/>
              </w:rPr>
              <w:t>李文丹</w:t>
            </w:r>
            <w:r>
              <w:rPr>
                <w:rFonts w:hint="eastAsia"/>
                <w:sz w:val="24"/>
                <w:szCs w:val="24"/>
              </w:rPr>
              <w:t xml:space="preserve"> </w:t>
            </w:r>
          </w:p>
          <w:p>
            <w:pPr>
              <w:pageBreakBefore w:val="0"/>
              <w:kinsoku/>
              <w:wordWrap/>
              <w:overflowPunct/>
              <w:topLinePunct w:val="0"/>
              <w:autoSpaceDE/>
              <w:autoSpaceDN/>
              <w:bidi w:val="0"/>
              <w:spacing w:beforeAutospacing="0" w:line="440" w:lineRule="exact"/>
              <w:ind w:left="0" w:firstLine="0" w:firstLineChars="0"/>
              <w:rPr>
                <w:rFonts w:hint="eastAsia"/>
                <w:sz w:val="24"/>
                <w:szCs w:val="24"/>
                <w:lang w:eastAsia="zh-CN"/>
              </w:rPr>
            </w:pPr>
            <w:r>
              <w:rPr>
                <w:rFonts w:hint="eastAsia"/>
                <w:sz w:val="24"/>
                <w:szCs w:val="24"/>
              </w:rPr>
              <w:t>联系方式：</w:t>
            </w:r>
            <w:r>
              <w:rPr>
                <w:rFonts w:hint="eastAsia"/>
                <w:sz w:val="24"/>
                <w:szCs w:val="24"/>
                <w:lang w:eastAsia="zh-CN"/>
              </w:rPr>
              <w:t>18053093376</w:t>
            </w:r>
          </w:p>
          <w:p>
            <w:pPr>
              <w:pStyle w:val="8"/>
              <w:pageBreakBefore w:val="0"/>
              <w:kinsoku/>
              <w:wordWrap/>
              <w:overflowPunct/>
              <w:topLinePunct w:val="0"/>
              <w:autoSpaceDE/>
              <w:autoSpaceDN/>
              <w:bidi w:val="0"/>
              <w:spacing w:beforeAutospacing="0" w:line="440" w:lineRule="exact"/>
              <w:ind w:left="0" w:firstLine="0" w:firstLineChars="0"/>
              <w:rPr>
                <w:rFonts w:hint="default"/>
                <w:sz w:val="24"/>
                <w:szCs w:val="24"/>
                <w:lang w:val="en-US" w:eastAsia="zh-CN"/>
              </w:rPr>
            </w:pPr>
            <w:r>
              <w:rPr>
                <w:rFonts w:hint="eastAsia" w:ascii="宋体" w:hAnsi="宋体" w:cs="宋体"/>
                <w:kern w:val="0"/>
                <w:sz w:val="24"/>
                <w:szCs w:val="24"/>
                <w:lang w:val="en-US" w:eastAsia="zh-CN"/>
              </w:rPr>
              <w:t>邮箱：jkjshz@163.com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42" w:type="dxa"/>
            <w:noWrap/>
            <w:vAlign w:val="center"/>
          </w:tcPr>
          <w:p>
            <w:pPr>
              <w:pageBreakBefore w:val="0"/>
              <w:numPr>
                <w:ilvl w:val="0"/>
                <w:numId w:val="0"/>
              </w:numPr>
              <w:kinsoku/>
              <w:wordWrap/>
              <w:overflowPunct/>
              <w:topLinePunct w:val="0"/>
              <w:autoSpaceDE/>
              <w:autoSpaceDN/>
              <w:bidi w:val="0"/>
              <w:spacing w:beforeAutospacing="0" w:line="440" w:lineRule="exact"/>
              <w:ind w:leftChars="0"/>
              <w:jc w:val="center"/>
              <w:rPr>
                <w:rFonts w:hint="eastAsia" w:ascii="宋体" w:hAnsi="宋体" w:eastAsia="宋体" w:cs="宋体"/>
                <w:sz w:val="24"/>
                <w:szCs w:val="24"/>
                <w:lang w:val="en-US" w:eastAsia="zh-CN"/>
              </w:rPr>
            </w:pPr>
            <w:r>
              <w:rPr>
                <w:rFonts w:hint="eastAsia" w:cs="宋体"/>
                <w:sz w:val="24"/>
                <w:szCs w:val="24"/>
                <w:lang w:val="en-US" w:eastAsia="zh-CN"/>
              </w:rPr>
              <w:t>3</w:t>
            </w:r>
          </w:p>
        </w:tc>
        <w:tc>
          <w:tcPr>
            <w:tcW w:w="1729"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7288" w:type="dxa"/>
            <w:noWrap/>
            <w:vAlign w:val="center"/>
          </w:tcPr>
          <w:p>
            <w:pPr>
              <w:pageBreakBefore w:val="0"/>
              <w:kinsoku/>
              <w:wordWrap/>
              <w:overflowPunct/>
              <w:topLinePunct w:val="0"/>
              <w:autoSpaceDE/>
              <w:autoSpaceDN/>
              <w:bidi w:val="0"/>
              <w:spacing w:beforeAutospacing="0" w:line="440" w:lineRule="exact"/>
              <w:ind w:left="0" w:firstLine="0" w:firstLineChars="0"/>
              <w:rPr>
                <w:rFonts w:hint="eastAsia" w:ascii="宋体" w:hAnsi="宋体" w:eastAsia="宋体" w:cs="宋体"/>
                <w:kern w:val="0"/>
                <w:sz w:val="24"/>
                <w:szCs w:val="24"/>
              </w:rPr>
            </w:pPr>
            <w:r>
              <w:rPr>
                <w:rFonts w:hint="eastAsia" w:cs="宋体"/>
                <w:kern w:val="0"/>
                <w:sz w:val="24"/>
                <w:szCs w:val="24"/>
                <w:lang w:val="en-US" w:eastAsia="zh-CN"/>
              </w:rPr>
              <w:t>菏泽职业学院校园正版化服务项目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742" w:type="dxa"/>
            <w:noWrap/>
            <w:vAlign w:val="center"/>
          </w:tcPr>
          <w:p>
            <w:pPr>
              <w:pageBreakBefore w:val="0"/>
              <w:numPr>
                <w:ilvl w:val="0"/>
                <w:numId w:val="0"/>
              </w:numPr>
              <w:kinsoku/>
              <w:wordWrap/>
              <w:overflowPunct/>
              <w:topLinePunct w:val="0"/>
              <w:autoSpaceDE/>
              <w:autoSpaceDN/>
              <w:bidi w:val="0"/>
              <w:spacing w:beforeAutospacing="0" w:line="440" w:lineRule="exact"/>
              <w:ind w:leftChars="0"/>
              <w:jc w:val="center"/>
              <w:rPr>
                <w:rFonts w:hint="eastAsia" w:ascii="宋体" w:hAnsi="宋体" w:eastAsia="宋体" w:cs="宋体"/>
                <w:sz w:val="24"/>
                <w:szCs w:val="24"/>
                <w:lang w:val="en-US" w:eastAsia="zh-CN"/>
              </w:rPr>
            </w:pPr>
            <w:r>
              <w:rPr>
                <w:rFonts w:hint="eastAsia" w:cs="宋体"/>
                <w:sz w:val="24"/>
                <w:szCs w:val="24"/>
                <w:lang w:val="en-US" w:eastAsia="zh-CN"/>
              </w:rPr>
              <w:t>4</w:t>
            </w:r>
          </w:p>
        </w:tc>
        <w:tc>
          <w:tcPr>
            <w:tcW w:w="1729" w:type="dxa"/>
            <w:noWrap/>
            <w:vAlign w:val="center"/>
          </w:tcPr>
          <w:p>
            <w:pPr>
              <w:pStyle w:val="31"/>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b w:val="0"/>
                <w:bCs w:val="0"/>
                <w:sz w:val="24"/>
                <w:szCs w:val="24"/>
                <w:lang w:val="en-US"/>
              </w:rPr>
            </w:pPr>
            <w:r>
              <w:rPr>
                <w:rFonts w:hint="eastAsia" w:cs="宋体"/>
                <w:b w:val="0"/>
                <w:bCs w:val="0"/>
                <w:sz w:val="24"/>
                <w:szCs w:val="24"/>
                <w:lang w:val="en-US" w:eastAsia="zh-CN"/>
              </w:rPr>
              <w:t>服务</w:t>
            </w:r>
            <w:r>
              <w:rPr>
                <w:rFonts w:hint="eastAsia" w:ascii="宋体" w:hAnsi="宋体" w:eastAsia="宋体" w:cs="宋体"/>
                <w:b w:val="0"/>
                <w:bCs w:val="0"/>
                <w:sz w:val="24"/>
                <w:szCs w:val="24"/>
                <w:lang w:val="en-US"/>
              </w:rPr>
              <w:t>地点</w:t>
            </w:r>
          </w:p>
        </w:tc>
        <w:tc>
          <w:tcPr>
            <w:tcW w:w="7288" w:type="dxa"/>
            <w:noWrap/>
            <w:vAlign w:val="center"/>
          </w:tcPr>
          <w:p>
            <w:pPr>
              <w:pStyle w:val="31"/>
              <w:pageBreakBefore w:val="0"/>
              <w:kinsoku/>
              <w:wordWrap/>
              <w:overflowPunct/>
              <w:topLinePunct w:val="0"/>
              <w:autoSpaceDE/>
              <w:autoSpaceDN/>
              <w:bidi w:val="0"/>
              <w:spacing w:beforeAutospacing="0" w:line="440" w:lineRule="exact"/>
              <w:ind w:left="0" w:firstLine="0" w:firstLineChars="0"/>
              <w:jc w:val="both"/>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42" w:type="dxa"/>
            <w:noWrap/>
            <w:vAlign w:val="center"/>
          </w:tcPr>
          <w:p>
            <w:pPr>
              <w:pageBreakBefore w:val="0"/>
              <w:numPr>
                <w:ilvl w:val="0"/>
                <w:numId w:val="0"/>
              </w:numPr>
              <w:kinsoku/>
              <w:wordWrap/>
              <w:overflowPunct/>
              <w:topLinePunct w:val="0"/>
              <w:autoSpaceDE/>
              <w:autoSpaceDN/>
              <w:bidi w:val="0"/>
              <w:spacing w:beforeAutospacing="0" w:line="440" w:lineRule="exact"/>
              <w:ind w:leftChars="0"/>
              <w:jc w:val="center"/>
              <w:rPr>
                <w:rFonts w:hint="eastAsia" w:ascii="宋体" w:hAnsi="宋体" w:eastAsia="宋体" w:cs="宋体"/>
                <w:sz w:val="24"/>
                <w:szCs w:val="24"/>
                <w:lang w:val="en-US" w:eastAsia="zh-CN"/>
              </w:rPr>
            </w:pPr>
            <w:r>
              <w:rPr>
                <w:rFonts w:hint="eastAsia" w:cs="宋体"/>
                <w:sz w:val="24"/>
                <w:szCs w:val="24"/>
                <w:lang w:val="en-US" w:eastAsia="zh-CN"/>
              </w:rPr>
              <w:t>5</w:t>
            </w:r>
          </w:p>
        </w:tc>
        <w:tc>
          <w:tcPr>
            <w:tcW w:w="1729"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资金来源</w:t>
            </w:r>
          </w:p>
        </w:tc>
        <w:tc>
          <w:tcPr>
            <w:tcW w:w="7288" w:type="dxa"/>
            <w:noWrap/>
            <w:vAlign w:val="center"/>
          </w:tcPr>
          <w:p>
            <w:pPr>
              <w:pageBreakBefore w:val="0"/>
              <w:kinsoku/>
              <w:wordWrap/>
              <w:overflowPunct/>
              <w:topLinePunct w:val="0"/>
              <w:autoSpaceDE/>
              <w:autoSpaceDN/>
              <w:bidi w:val="0"/>
              <w:spacing w:beforeAutospacing="0" w:line="440" w:lineRule="exact"/>
              <w:ind w:left="0" w:firstLine="0" w:firstLineChars="0"/>
              <w:rPr>
                <w:rFonts w:hint="eastAsia" w:ascii="宋体" w:hAnsi="宋体" w:eastAsia="宋体" w:cs="宋体"/>
                <w:kern w:val="0"/>
                <w:sz w:val="24"/>
                <w:szCs w:val="24"/>
              </w:rPr>
            </w:pPr>
            <w:r>
              <w:rPr>
                <w:rFonts w:hint="eastAsia" w:ascii="宋体" w:hAnsi="宋体" w:eastAsia="宋体" w:cs="宋体"/>
                <w:kern w:val="0"/>
                <w:sz w:val="24"/>
                <w:szCs w:val="24"/>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2" w:type="dxa"/>
            <w:noWrap/>
            <w:vAlign w:val="center"/>
          </w:tcPr>
          <w:p>
            <w:pPr>
              <w:pageBreakBefore w:val="0"/>
              <w:numPr>
                <w:ilvl w:val="0"/>
                <w:numId w:val="0"/>
              </w:numPr>
              <w:kinsoku/>
              <w:wordWrap/>
              <w:overflowPunct/>
              <w:topLinePunct w:val="0"/>
              <w:autoSpaceDE/>
              <w:autoSpaceDN/>
              <w:bidi w:val="0"/>
              <w:spacing w:beforeAutospacing="0" w:line="440" w:lineRule="exact"/>
              <w:ind w:leftChars="0"/>
              <w:jc w:val="center"/>
              <w:rPr>
                <w:rFonts w:hint="default" w:ascii="宋体" w:hAnsi="宋体" w:eastAsia="宋体" w:cs="宋体"/>
                <w:sz w:val="24"/>
                <w:szCs w:val="24"/>
                <w:lang w:val="en-US" w:eastAsia="zh-CN"/>
              </w:rPr>
            </w:pPr>
            <w:r>
              <w:rPr>
                <w:rFonts w:hint="eastAsia" w:cs="宋体"/>
                <w:sz w:val="24"/>
                <w:szCs w:val="24"/>
                <w:lang w:val="en-US" w:eastAsia="zh-CN"/>
              </w:rPr>
              <w:t>6</w:t>
            </w:r>
          </w:p>
        </w:tc>
        <w:tc>
          <w:tcPr>
            <w:tcW w:w="1729"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资金落实情况</w:t>
            </w:r>
          </w:p>
        </w:tc>
        <w:tc>
          <w:tcPr>
            <w:tcW w:w="7288" w:type="dxa"/>
            <w:noWrap/>
            <w:vAlign w:val="center"/>
          </w:tcPr>
          <w:p>
            <w:pPr>
              <w:pageBreakBefore w:val="0"/>
              <w:kinsoku/>
              <w:wordWrap/>
              <w:overflowPunct/>
              <w:topLinePunct w:val="0"/>
              <w:autoSpaceDE/>
              <w:autoSpaceDN/>
              <w:bidi w:val="0"/>
              <w:spacing w:beforeAutospacing="0" w:line="440" w:lineRule="exact"/>
              <w:ind w:left="0" w:firstLine="0" w:firstLineChars="0"/>
              <w:rPr>
                <w:rFonts w:hint="eastAsia" w:ascii="宋体" w:hAnsi="宋体" w:eastAsia="宋体" w:cs="宋体"/>
                <w:sz w:val="24"/>
                <w:szCs w:val="24"/>
              </w:rPr>
            </w:pPr>
            <w:r>
              <w:rPr>
                <w:rFonts w:hint="eastAsia" w:ascii="宋体" w:hAnsi="宋体" w:eastAsia="宋体" w:cs="宋体"/>
                <w:sz w:val="24"/>
                <w:szCs w:val="24"/>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42" w:type="dxa"/>
            <w:noWrap/>
            <w:vAlign w:val="center"/>
          </w:tcPr>
          <w:p>
            <w:pPr>
              <w:pageBreakBefore w:val="0"/>
              <w:numPr>
                <w:ilvl w:val="0"/>
                <w:numId w:val="0"/>
              </w:numPr>
              <w:kinsoku/>
              <w:wordWrap/>
              <w:overflowPunct/>
              <w:topLinePunct w:val="0"/>
              <w:autoSpaceDE/>
              <w:autoSpaceDN/>
              <w:bidi w:val="0"/>
              <w:spacing w:beforeAutospacing="0" w:line="440" w:lineRule="exact"/>
              <w:ind w:leftChars="0"/>
              <w:jc w:val="center"/>
              <w:rPr>
                <w:rFonts w:hint="eastAsia" w:ascii="宋体" w:hAnsi="宋体" w:eastAsia="宋体" w:cs="宋体"/>
                <w:sz w:val="24"/>
                <w:szCs w:val="24"/>
                <w:lang w:val="en-US" w:eastAsia="zh-CN"/>
              </w:rPr>
            </w:pPr>
            <w:r>
              <w:rPr>
                <w:rFonts w:hint="eastAsia" w:cs="宋体"/>
                <w:sz w:val="24"/>
                <w:szCs w:val="24"/>
                <w:lang w:val="en-US" w:eastAsia="zh-CN"/>
              </w:rPr>
              <w:t>7</w:t>
            </w:r>
          </w:p>
        </w:tc>
        <w:tc>
          <w:tcPr>
            <w:tcW w:w="1729"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kern w:val="0"/>
                <w:sz w:val="24"/>
                <w:szCs w:val="24"/>
                <w:highlight w:val="none"/>
              </w:rPr>
            </w:pPr>
            <w:r>
              <w:rPr>
                <w:rFonts w:hint="eastAsia" w:cs="宋体"/>
                <w:kern w:val="0"/>
                <w:sz w:val="24"/>
                <w:szCs w:val="24"/>
                <w:highlight w:val="none"/>
                <w:lang w:val="en-US" w:eastAsia="zh-CN"/>
              </w:rPr>
              <w:t>服务</w:t>
            </w:r>
            <w:r>
              <w:rPr>
                <w:rFonts w:hint="eastAsia" w:ascii="宋体" w:hAnsi="宋体" w:eastAsia="宋体" w:cs="宋体"/>
                <w:kern w:val="0"/>
                <w:sz w:val="24"/>
                <w:szCs w:val="24"/>
                <w:highlight w:val="none"/>
              </w:rPr>
              <w:t>内容</w:t>
            </w:r>
          </w:p>
        </w:tc>
        <w:tc>
          <w:tcPr>
            <w:tcW w:w="7288" w:type="dxa"/>
            <w:noWrap/>
            <w:vAlign w:val="center"/>
          </w:tcPr>
          <w:p>
            <w:pPr>
              <w:pageBreakBefore w:val="0"/>
              <w:kinsoku/>
              <w:wordWrap/>
              <w:overflowPunct/>
              <w:topLinePunct w:val="0"/>
              <w:autoSpaceDE/>
              <w:autoSpaceDN/>
              <w:bidi w:val="0"/>
              <w:spacing w:beforeAutospacing="0" w:line="440" w:lineRule="exact"/>
              <w:ind w:left="0" w:firstLine="0" w:firstLineChars="0"/>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操作系统软件服务</w:t>
            </w:r>
            <w:r>
              <w:rPr>
                <w:rFonts w:hint="eastAsia" w:cs="宋体"/>
                <w:kern w:val="0"/>
                <w:sz w:val="24"/>
                <w:szCs w:val="24"/>
                <w:highlight w:val="none"/>
                <w:lang w:eastAsia="zh-CN"/>
              </w:rPr>
              <w:t>、办公软件服务、软件资源与服务管理平台及售后服务</w:t>
            </w:r>
            <w:r>
              <w:rPr>
                <w:rFonts w:hint="eastAsia" w:cs="宋体"/>
                <w:kern w:val="0"/>
                <w:sz w:val="24"/>
                <w:szCs w:val="24"/>
                <w:highlight w:val="none"/>
                <w:lang w:val="en-US" w:eastAsia="zh-CN"/>
              </w:rPr>
              <w:t>等有关资料包括的全部内容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42" w:type="dxa"/>
            <w:noWrap/>
            <w:vAlign w:val="center"/>
          </w:tcPr>
          <w:p>
            <w:pPr>
              <w:pageBreakBefore w:val="0"/>
              <w:numPr>
                <w:ilvl w:val="0"/>
                <w:numId w:val="0"/>
              </w:numPr>
              <w:kinsoku/>
              <w:wordWrap/>
              <w:overflowPunct/>
              <w:topLinePunct w:val="0"/>
              <w:autoSpaceDE/>
              <w:autoSpaceDN/>
              <w:bidi w:val="0"/>
              <w:spacing w:beforeAutospacing="0" w:line="440" w:lineRule="exact"/>
              <w:ind w:leftChars="0"/>
              <w:jc w:val="center"/>
              <w:rPr>
                <w:rFonts w:hint="eastAsia" w:ascii="宋体" w:hAnsi="宋体" w:eastAsia="宋体" w:cs="宋体"/>
                <w:sz w:val="24"/>
                <w:szCs w:val="24"/>
                <w:lang w:val="en-US" w:eastAsia="zh-CN"/>
              </w:rPr>
            </w:pPr>
            <w:r>
              <w:rPr>
                <w:rFonts w:hint="eastAsia" w:cs="宋体"/>
                <w:sz w:val="24"/>
                <w:szCs w:val="24"/>
                <w:lang w:val="en-US" w:eastAsia="zh-CN"/>
              </w:rPr>
              <w:t>8</w:t>
            </w:r>
          </w:p>
        </w:tc>
        <w:tc>
          <w:tcPr>
            <w:tcW w:w="1729"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期限</w:t>
            </w:r>
          </w:p>
        </w:tc>
        <w:tc>
          <w:tcPr>
            <w:tcW w:w="7288" w:type="dxa"/>
            <w:noWrap/>
            <w:vAlign w:val="center"/>
          </w:tcPr>
          <w:p>
            <w:pPr>
              <w:pageBreakBefore w:val="0"/>
              <w:kinsoku/>
              <w:wordWrap/>
              <w:overflowPunct/>
              <w:topLinePunct w:val="0"/>
              <w:autoSpaceDE/>
              <w:autoSpaceDN/>
              <w:bidi w:val="0"/>
              <w:spacing w:beforeAutospacing="0" w:line="440" w:lineRule="exact"/>
              <w:ind w:left="0" w:firstLine="0" w:firstLineChars="0"/>
              <w:rPr>
                <w:rFonts w:hint="eastAsia" w:cs="宋体"/>
                <w:b w:val="0"/>
                <w:bCs/>
                <w:kern w:val="0"/>
                <w:sz w:val="24"/>
                <w:szCs w:val="24"/>
                <w:highlight w:val="none"/>
                <w:lang w:val="en-US" w:eastAsia="zh-CN"/>
              </w:rPr>
            </w:pPr>
            <w:r>
              <w:rPr>
                <w:rFonts w:hint="eastAsia" w:cs="宋体"/>
                <w:b w:val="0"/>
                <w:bCs/>
                <w:kern w:val="0"/>
                <w:sz w:val="24"/>
                <w:szCs w:val="24"/>
                <w:highlight w:val="none"/>
                <w:lang w:val="en-US" w:eastAsia="zh-CN"/>
              </w:rPr>
              <w:t>供货期：</w:t>
            </w:r>
            <w:r>
              <w:rPr>
                <w:rFonts w:hint="eastAsia" w:ascii="宋体" w:hAnsi="宋体" w:eastAsia="宋体" w:cs="宋体"/>
                <w:b w:val="0"/>
                <w:bCs/>
                <w:kern w:val="0"/>
                <w:sz w:val="24"/>
                <w:szCs w:val="24"/>
                <w:highlight w:val="none"/>
                <w:lang w:val="en-US" w:eastAsia="zh-CN"/>
              </w:rPr>
              <w:t>合同签订完成后，2周内安装调试完毕</w:t>
            </w:r>
            <w:r>
              <w:rPr>
                <w:rFonts w:hint="eastAsia" w:cs="宋体"/>
                <w:b w:val="0"/>
                <w:bCs/>
                <w:kern w:val="0"/>
                <w:sz w:val="24"/>
                <w:szCs w:val="24"/>
                <w:highlight w:val="none"/>
                <w:lang w:val="en-US" w:eastAsia="zh-CN"/>
              </w:rPr>
              <w:t>；</w:t>
            </w:r>
          </w:p>
          <w:p>
            <w:pPr>
              <w:pageBreakBefore w:val="0"/>
              <w:kinsoku/>
              <w:wordWrap/>
              <w:overflowPunct/>
              <w:topLinePunct w:val="0"/>
              <w:autoSpaceDE/>
              <w:autoSpaceDN/>
              <w:bidi w:val="0"/>
              <w:spacing w:beforeAutospacing="0" w:line="440" w:lineRule="exact"/>
              <w:ind w:left="0" w:firstLine="0" w:firstLineChars="0"/>
              <w:rPr>
                <w:rFonts w:hint="default" w:ascii="宋体" w:hAnsi="宋体" w:eastAsia="宋体" w:cs="宋体"/>
                <w:kern w:val="0"/>
                <w:sz w:val="24"/>
                <w:szCs w:val="24"/>
                <w:highlight w:val="none"/>
                <w:lang w:val="en-US" w:eastAsia="zh-CN"/>
              </w:rPr>
            </w:pPr>
            <w:r>
              <w:rPr>
                <w:rFonts w:hint="eastAsia" w:cs="宋体"/>
                <w:b w:val="0"/>
                <w:bCs/>
                <w:kern w:val="0"/>
                <w:sz w:val="24"/>
                <w:szCs w:val="24"/>
                <w:highlight w:val="none"/>
                <w:lang w:val="en-US" w:eastAsia="zh-CN"/>
              </w:rPr>
              <w:t>服务期限：1年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42" w:type="dxa"/>
            <w:noWrap/>
            <w:vAlign w:val="center"/>
          </w:tcPr>
          <w:p>
            <w:pPr>
              <w:pageBreakBefore w:val="0"/>
              <w:numPr>
                <w:ilvl w:val="0"/>
                <w:numId w:val="0"/>
              </w:numPr>
              <w:kinsoku/>
              <w:wordWrap/>
              <w:overflowPunct/>
              <w:topLinePunct w:val="0"/>
              <w:autoSpaceDE/>
              <w:autoSpaceDN/>
              <w:bidi w:val="0"/>
              <w:spacing w:beforeAutospacing="0" w:line="440" w:lineRule="exact"/>
              <w:ind w:leftChars="0"/>
              <w:jc w:val="center"/>
              <w:rPr>
                <w:rFonts w:hint="eastAsia" w:ascii="宋体" w:hAnsi="宋体" w:eastAsia="宋体" w:cs="宋体"/>
                <w:sz w:val="24"/>
                <w:szCs w:val="24"/>
                <w:lang w:val="en-US" w:eastAsia="zh-CN"/>
              </w:rPr>
            </w:pPr>
            <w:r>
              <w:rPr>
                <w:rFonts w:hint="eastAsia" w:cs="宋体"/>
                <w:sz w:val="24"/>
                <w:szCs w:val="24"/>
                <w:lang w:val="en-US" w:eastAsia="zh-CN"/>
              </w:rPr>
              <w:t>9</w:t>
            </w:r>
          </w:p>
        </w:tc>
        <w:tc>
          <w:tcPr>
            <w:tcW w:w="1729"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rPr>
            </w:pPr>
            <w:r>
              <w:rPr>
                <w:rFonts w:hint="eastAsia" w:cs="宋体"/>
                <w:sz w:val="24"/>
                <w:szCs w:val="24"/>
                <w:lang w:val="en-US" w:eastAsia="zh-CN"/>
              </w:rPr>
              <w:t>服务</w:t>
            </w:r>
            <w:r>
              <w:rPr>
                <w:rFonts w:hint="eastAsia" w:ascii="宋体" w:hAnsi="宋体" w:eastAsia="宋体" w:cs="宋体"/>
                <w:sz w:val="24"/>
                <w:szCs w:val="24"/>
              </w:rPr>
              <w:t>要求</w:t>
            </w:r>
          </w:p>
        </w:tc>
        <w:tc>
          <w:tcPr>
            <w:tcW w:w="7288" w:type="dxa"/>
            <w:noWrap/>
            <w:vAlign w:val="center"/>
          </w:tcPr>
          <w:p>
            <w:pPr>
              <w:pageBreakBefore w:val="0"/>
              <w:kinsoku/>
              <w:wordWrap/>
              <w:overflowPunct/>
              <w:topLinePunct w:val="0"/>
              <w:autoSpaceDE/>
              <w:autoSpaceDN/>
              <w:bidi w:val="0"/>
              <w:spacing w:beforeAutospacing="0" w:line="440" w:lineRule="exact"/>
              <w:ind w:left="0" w:firstLine="0" w:firstLineChars="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达到国家、地方、行业及采购人要求的质量标准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2"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10</w:t>
            </w:r>
          </w:p>
        </w:tc>
        <w:tc>
          <w:tcPr>
            <w:tcW w:w="1729"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供应商资格要求</w:t>
            </w:r>
          </w:p>
        </w:tc>
        <w:tc>
          <w:tcPr>
            <w:tcW w:w="7288" w:type="dxa"/>
            <w:noWrap/>
            <w:vAlign w:val="center"/>
          </w:tcPr>
          <w:p>
            <w:pPr>
              <w:pStyle w:val="2"/>
              <w:pageBreakBefore w:val="0"/>
              <w:kinsoku/>
              <w:wordWrap/>
              <w:overflowPunct/>
              <w:topLinePunct w:val="0"/>
              <w:autoSpaceDE/>
              <w:autoSpaceDN/>
              <w:bidi w:val="0"/>
              <w:spacing w:beforeAutospacing="0" w:line="440" w:lineRule="exact"/>
              <w:ind w:left="0" w:leftChars="0" w:firstLine="0" w:firstLineChars="0"/>
              <w:rPr>
                <w:rFonts w:hint="eastAsia" w:ascii="宋体" w:hAnsi="宋体" w:eastAsia="宋体" w:cs="宋体"/>
                <w:kern w:val="0"/>
                <w:sz w:val="24"/>
                <w:szCs w:val="24"/>
              </w:rPr>
            </w:pPr>
            <w:r>
              <w:rPr>
                <w:rFonts w:hint="eastAsia" w:ascii="宋体" w:hAnsi="宋体" w:eastAsia="宋体" w:cs="宋体"/>
                <w:kern w:val="0"/>
                <w:sz w:val="24"/>
                <w:szCs w:val="24"/>
              </w:rPr>
              <w:t>详见</w:t>
            </w:r>
            <w:r>
              <w:rPr>
                <w:rFonts w:hint="eastAsia" w:ascii="宋体" w:hAnsi="宋体" w:eastAsia="宋体" w:cs="宋体"/>
                <w:kern w:val="0"/>
                <w:sz w:val="24"/>
                <w:szCs w:val="24"/>
                <w:lang w:val="en-US" w:eastAsia="zh-CN"/>
              </w:rPr>
              <w:t>磋商</w:t>
            </w:r>
            <w:r>
              <w:rPr>
                <w:rFonts w:hint="eastAsia" w:ascii="宋体" w:hAnsi="宋体" w:eastAsia="宋体" w:cs="宋体"/>
                <w:kern w:val="0"/>
                <w:sz w:val="24"/>
                <w:szCs w:val="24"/>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742"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11</w:t>
            </w:r>
          </w:p>
        </w:tc>
        <w:tc>
          <w:tcPr>
            <w:tcW w:w="1729"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是否接受联合体报价</w:t>
            </w:r>
          </w:p>
        </w:tc>
        <w:tc>
          <w:tcPr>
            <w:tcW w:w="7288" w:type="dxa"/>
            <w:noWrap/>
            <w:vAlign w:val="center"/>
          </w:tcPr>
          <w:p>
            <w:pPr>
              <w:pageBreakBefore w:val="0"/>
              <w:numPr>
                <w:ilvl w:val="0"/>
                <w:numId w:val="5"/>
              </w:numPr>
              <w:kinsoku/>
              <w:wordWrap/>
              <w:overflowPunct/>
              <w:topLinePunct w:val="0"/>
              <w:autoSpaceDE/>
              <w:autoSpaceDN/>
              <w:bidi w:val="0"/>
              <w:spacing w:beforeAutospacing="0" w:line="440" w:lineRule="exact"/>
              <w:ind w:left="0" w:firstLine="0" w:firstLineChars="0"/>
              <w:rPr>
                <w:rFonts w:hint="eastAsia" w:ascii="宋体" w:hAnsi="宋体" w:eastAsia="宋体" w:cs="宋体"/>
                <w:sz w:val="24"/>
                <w:szCs w:val="24"/>
              </w:rPr>
            </w:pPr>
            <w:r>
              <w:rPr>
                <w:rFonts w:hint="eastAsia" w:ascii="宋体" w:hAnsi="宋体" w:eastAsia="宋体" w:cs="宋体"/>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742"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12</w:t>
            </w:r>
          </w:p>
        </w:tc>
        <w:tc>
          <w:tcPr>
            <w:tcW w:w="1729"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踏勘现场</w:t>
            </w:r>
          </w:p>
        </w:tc>
        <w:tc>
          <w:tcPr>
            <w:tcW w:w="7288" w:type="dxa"/>
            <w:noWrap/>
            <w:vAlign w:val="center"/>
          </w:tcPr>
          <w:p>
            <w:pPr>
              <w:pageBreakBefore w:val="0"/>
              <w:numPr>
                <w:ilvl w:val="0"/>
                <w:numId w:val="0"/>
              </w:numPr>
              <w:kinsoku/>
              <w:wordWrap/>
              <w:overflowPunct/>
              <w:topLinePunct w:val="0"/>
              <w:autoSpaceDE/>
              <w:autoSpaceDN/>
              <w:bidi w:val="0"/>
              <w:spacing w:beforeAutospacing="0" w:line="440" w:lineRule="exact"/>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rPr>
              <w:t>不组织</w:t>
            </w:r>
            <w:r>
              <w:rPr>
                <w:rFonts w:hint="eastAsia" w:ascii="宋体" w:hAnsi="宋体" w:eastAsia="宋体" w:cs="宋体"/>
                <w:sz w:val="24"/>
                <w:szCs w:val="24"/>
                <w:lang w:eastAsia="zh-CN"/>
              </w:rPr>
              <w:t>，采购人不统一组织供应商踏勘项目现场，各供应商自行踏勘现场，因供应商未踏勘现场引起的风险后果由供应商自行承担。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742"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13</w:t>
            </w:r>
          </w:p>
        </w:tc>
        <w:tc>
          <w:tcPr>
            <w:tcW w:w="1729"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预备会</w:t>
            </w:r>
          </w:p>
        </w:tc>
        <w:tc>
          <w:tcPr>
            <w:tcW w:w="7288" w:type="dxa"/>
            <w:noWrap/>
            <w:vAlign w:val="center"/>
          </w:tcPr>
          <w:p>
            <w:pPr>
              <w:pageBreakBefore w:val="0"/>
              <w:numPr>
                <w:ilvl w:val="0"/>
                <w:numId w:val="6"/>
              </w:numPr>
              <w:kinsoku/>
              <w:wordWrap/>
              <w:overflowPunct/>
              <w:topLinePunct w:val="0"/>
              <w:autoSpaceDE/>
              <w:autoSpaceDN/>
              <w:bidi w:val="0"/>
              <w:spacing w:beforeAutospacing="0" w:line="440" w:lineRule="exact"/>
              <w:ind w:left="0" w:firstLine="0" w:firstLineChars="0"/>
              <w:rPr>
                <w:rFonts w:hint="eastAsia" w:ascii="宋体" w:hAnsi="宋体" w:eastAsia="宋体" w:cs="宋体"/>
                <w:sz w:val="24"/>
                <w:szCs w:val="24"/>
              </w:rPr>
            </w:pPr>
            <w:r>
              <w:rPr>
                <w:rFonts w:hint="eastAsia" w:ascii="宋体" w:hAnsi="宋体" w:eastAsia="宋体" w:cs="宋体"/>
                <w:sz w:val="24"/>
                <w:szCs w:val="24"/>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742"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default" w:ascii="宋体" w:hAnsi="宋体" w:eastAsia="宋体" w:cs="宋体"/>
                <w:sz w:val="24"/>
                <w:szCs w:val="24"/>
                <w:lang w:val="en-US" w:eastAsia="zh-CN"/>
              </w:rPr>
            </w:pPr>
            <w:r>
              <w:rPr>
                <w:rFonts w:hint="eastAsia" w:cs="宋体"/>
                <w:sz w:val="24"/>
                <w:szCs w:val="24"/>
                <w:lang w:val="en-US" w:eastAsia="zh-CN"/>
              </w:rPr>
              <w:t>14</w:t>
            </w:r>
          </w:p>
        </w:tc>
        <w:tc>
          <w:tcPr>
            <w:tcW w:w="1729"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lang w:val="en-US" w:eastAsia="zh-CN"/>
              </w:rPr>
            </w:pPr>
            <w:r>
              <w:rPr>
                <w:rFonts w:hint="eastAsia" w:cs="宋体"/>
                <w:sz w:val="24"/>
                <w:szCs w:val="24"/>
                <w:lang w:val="en-US" w:eastAsia="zh-CN"/>
              </w:rPr>
              <w:t>偏离</w:t>
            </w:r>
          </w:p>
        </w:tc>
        <w:tc>
          <w:tcPr>
            <w:tcW w:w="7288" w:type="dxa"/>
            <w:noWrap/>
            <w:vAlign w:val="center"/>
          </w:tcPr>
          <w:p>
            <w:pPr>
              <w:pageBreakBefore w:val="0"/>
              <w:numPr>
                <w:ilvl w:val="0"/>
                <w:numId w:val="0"/>
              </w:numPr>
              <w:kinsoku/>
              <w:wordWrap/>
              <w:overflowPunct/>
              <w:topLinePunct w:val="0"/>
              <w:autoSpaceDE/>
              <w:autoSpaceDN/>
              <w:bidi w:val="0"/>
              <w:spacing w:beforeAutospacing="0" w:line="440" w:lineRule="exact"/>
              <w:ind w:leftChars="0"/>
              <w:rPr>
                <w:rFonts w:hint="default" w:ascii="宋体" w:hAnsi="宋体" w:eastAsia="宋体" w:cs="宋体"/>
                <w:sz w:val="24"/>
                <w:szCs w:val="24"/>
                <w:lang w:val="en-US" w:eastAsia="zh-CN"/>
              </w:rPr>
            </w:pPr>
            <w:r>
              <w:rPr>
                <w:rFonts w:hint="eastAsia" w:cs="宋体"/>
                <w:sz w:val="24"/>
                <w:szCs w:val="24"/>
                <w:lang w:val="en-US" w:eastAsia="zh-CN"/>
              </w:rPr>
              <w:t>不允许偏离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742"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cs="宋体"/>
                <w:sz w:val="24"/>
                <w:szCs w:val="24"/>
                <w:lang w:val="en-US" w:eastAsia="zh-CN"/>
              </w:rPr>
              <w:t>5</w:t>
            </w:r>
          </w:p>
        </w:tc>
        <w:tc>
          <w:tcPr>
            <w:tcW w:w="1729" w:type="dxa"/>
            <w:noWrap/>
            <w:vAlign w:val="center"/>
          </w:tcPr>
          <w:p>
            <w:pPr>
              <w:keepNext w:val="0"/>
              <w:keepLines w:val="0"/>
              <w:pageBreakBefore w:val="0"/>
              <w:kinsoku/>
              <w:wordWrap/>
              <w:overflowPunct/>
              <w:topLinePunct w:val="0"/>
              <w:autoSpaceDE/>
              <w:autoSpaceDN/>
              <w:bidi w:val="0"/>
              <w:adjustRightInd/>
              <w:snapToGrid/>
              <w:spacing w:beforeAutospacing="0" w:line="440" w:lineRule="exact"/>
              <w:ind w:left="0" w:firstLine="0" w:firstLineChars="0"/>
              <w:jc w:val="center"/>
              <w:rPr>
                <w:rFonts w:hint="eastAsia" w:ascii="宋体" w:hAnsi="宋体" w:eastAsia="宋体" w:cs="宋体"/>
                <w:sz w:val="24"/>
                <w:szCs w:val="24"/>
              </w:rPr>
            </w:pPr>
            <w:r>
              <w:rPr>
                <w:rFonts w:hint="eastAsia" w:ascii="宋体" w:hAnsi="宋体" w:eastAsia="宋体" w:cs="宋体"/>
                <w:sz w:val="24"/>
                <w:szCs w:val="24"/>
                <w:lang w:eastAsia="zh-CN"/>
              </w:rPr>
              <w:t>采购人</w:t>
            </w:r>
            <w:r>
              <w:rPr>
                <w:rFonts w:hint="eastAsia" w:ascii="宋体" w:hAnsi="宋体" w:eastAsia="宋体" w:cs="宋体"/>
                <w:sz w:val="24"/>
                <w:szCs w:val="24"/>
                <w:lang w:val="en-US" w:eastAsia="zh-CN"/>
              </w:rPr>
              <w:t>主动</w:t>
            </w:r>
            <w:r>
              <w:rPr>
                <w:rFonts w:hint="eastAsia" w:ascii="宋体" w:hAnsi="宋体" w:eastAsia="宋体" w:cs="宋体"/>
                <w:sz w:val="24"/>
                <w:szCs w:val="24"/>
              </w:rPr>
              <w:t>澄清</w:t>
            </w:r>
            <w:r>
              <w:rPr>
                <w:rFonts w:hint="eastAsia" w:ascii="宋体" w:hAnsi="宋体" w:eastAsia="宋体" w:cs="宋体"/>
                <w:sz w:val="24"/>
                <w:szCs w:val="24"/>
                <w:lang w:eastAsia="zh-CN"/>
              </w:rPr>
              <w:t>、</w:t>
            </w:r>
            <w:r>
              <w:rPr>
                <w:rFonts w:hint="eastAsia" w:ascii="宋体" w:hAnsi="宋体" w:eastAsia="宋体" w:cs="宋体"/>
                <w:sz w:val="24"/>
                <w:szCs w:val="24"/>
              </w:rPr>
              <w:t>修改的时间</w:t>
            </w:r>
          </w:p>
        </w:tc>
        <w:tc>
          <w:tcPr>
            <w:tcW w:w="7288" w:type="dxa"/>
            <w:noWrap/>
            <w:vAlign w:val="center"/>
          </w:tcPr>
          <w:p>
            <w:pPr>
              <w:keepNext w:val="0"/>
              <w:keepLines w:val="0"/>
              <w:pageBreakBefore w:val="0"/>
              <w:kinsoku/>
              <w:wordWrap/>
              <w:overflowPunct/>
              <w:topLinePunct w:val="0"/>
              <w:autoSpaceDE/>
              <w:autoSpaceDN/>
              <w:bidi w:val="0"/>
              <w:adjustRightInd/>
              <w:snapToGrid/>
              <w:spacing w:beforeAutospacing="0" w:line="440" w:lineRule="exact"/>
              <w:ind w:left="0" w:firstLine="0" w:firstLineChars="0"/>
              <w:rPr>
                <w:rFonts w:hint="eastAsia" w:ascii="宋体" w:hAnsi="宋体" w:eastAsia="宋体" w:cs="宋体"/>
                <w:sz w:val="24"/>
                <w:szCs w:val="24"/>
                <w:u w:val="single"/>
              </w:rPr>
            </w:pPr>
            <w:r>
              <w:rPr>
                <w:rFonts w:hint="eastAsia" w:ascii="宋体" w:hAnsi="宋体" w:eastAsia="宋体" w:cs="宋体"/>
                <w:sz w:val="24"/>
                <w:szCs w:val="24"/>
                <w:lang w:val="en-US" w:eastAsia="zh-CN"/>
              </w:rPr>
              <w:t>提交响应文件</w:t>
            </w:r>
            <w:r>
              <w:rPr>
                <w:rFonts w:hint="eastAsia" w:ascii="宋体" w:hAnsi="宋体" w:eastAsia="宋体" w:cs="宋体"/>
                <w:sz w:val="24"/>
                <w:szCs w:val="24"/>
              </w:rPr>
              <w:t>截止时间</w:t>
            </w:r>
            <w:r>
              <w:rPr>
                <w:rFonts w:hint="eastAsia" w:ascii="宋体" w:hAnsi="宋体" w:eastAsia="宋体" w:cs="宋体"/>
                <w:sz w:val="24"/>
                <w:szCs w:val="24"/>
                <w:lang w:val="en-US" w:eastAsia="zh-CN"/>
              </w:rPr>
              <w:t>5</w:t>
            </w:r>
            <w:r>
              <w:rPr>
                <w:rFonts w:hint="eastAsia" w:ascii="宋体" w:hAnsi="宋体" w:eastAsia="宋体" w:cs="宋体"/>
                <w:sz w:val="24"/>
                <w:szCs w:val="24"/>
              </w:rPr>
              <w:t>日前，</w:t>
            </w:r>
            <w:r>
              <w:rPr>
                <w:rFonts w:hint="eastAsia" w:ascii="宋体" w:hAnsi="宋体" w:eastAsia="宋体" w:cs="宋体"/>
                <w:sz w:val="24"/>
                <w:szCs w:val="24"/>
                <w:lang w:val="en-US" w:eastAsia="zh-CN"/>
              </w:rPr>
              <w:t>将澄清、修改的内容发布在相关平台，请各供应商自行查阅下载</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42"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cs="宋体"/>
                <w:sz w:val="24"/>
                <w:szCs w:val="24"/>
                <w:lang w:val="en-US" w:eastAsia="zh-CN"/>
              </w:rPr>
              <w:t>6</w:t>
            </w:r>
          </w:p>
        </w:tc>
        <w:tc>
          <w:tcPr>
            <w:tcW w:w="1729" w:type="dxa"/>
            <w:noWrap/>
            <w:vAlign w:val="center"/>
          </w:tcPr>
          <w:p>
            <w:pPr>
              <w:keepNext w:val="0"/>
              <w:keepLines w:val="0"/>
              <w:pageBreakBefore w:val="0"/>
              <w:kinsoku/>
              <w:wordWrap/>
              <w:overflowPunct/>
              <w:topLinePunct w:val="0"/>
              <w:autoSpaceDE/>
              <w:autoSpaceDN/>
              <w:bidi w:val="0"/>
              <w:adjustRightInd/>
              <w:snapToGrid/>
              <w:spacing w:beforeAutospacing="0" w:line="440" w:lineRule="exact"/>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分包</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转包</w:t>
            </w:r>
          </w:p>
        </w:tc>
        <w:tc>
          <w:tcPr>
            <w:tcW w:w="7288" w:type="dxa"/>
            <w:noWrap/>
            <w:vAlign w:val="center"/>
          </w:tcPr>
          <w:p>
            <w:pPr>
              <w:keepNext w:val="0"/>
              <w:keepLines w:val="0"/>
              <w:pageBreakBefore w:val="0"/>
              <w:kinsoku/>
              <w:wordWrap/>
              <w:overflowPunct/>
              <w:topLinePunct w:val="0"/>
              <w:autoSpaceDE/>
              <w:autoSpaceDN/>
              <w:bidi w:val="0"/>
              <w:adjustRightInd/>
              <w:snapToGrid/>
              <w:spacing w:beforeAutospacing="0" w:line="440" w:lineRule="exact"/>
              <w:ind w:left="0" w:firstLine="0" w:firstLineChars="0"/>
              <w:rPr>
                <w:rFonts w:hint="eastAsia" w:ascii="宋体" w:hAnsi="宋体" w:eastAsia="宋体" w:cs="宋体"/>
                <w:sz w:val="24"/>
                <w:szCs w:val="24"/>
              </w:rPr>
            </w:pPr>
            <w:r>
              <w:rPr>
                <w:rFonts w:hint="eastAsia" w:ascii="宋体" w:hAnsi="宋体" w:eastAsia="宋体" w:cs="宋体"/>
                <w:sz w:val="24"/>
                <w:szCs w:val="24"/>
              </w:rPr>
              <w:t>不允许任何情况的转包和分包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42"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cs="宋体"/>
                <w:sz w:val="24"/>
                <w:szCs w:val="24"/>
                <w:lang w:val="en-US" w:eastAsia="zh-CN"/>
              </w:rPr>
              <w:t>7</w:t>
            </w:r>
          </w:p>
        </w:tc>
        <w:tc>
          <w:tcPr>
            <w:tcW w:w="1729"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构成竞争性磋商文件的其他材料</w:t>
            </w:r>
          </w:p>
        </w:tc>
        <w:tc>
          <w:tcPr>
            <w:tcW w:w="7288" w:type="dxa"/>
            <w:noWrap/>
            <w:vAlign w:val="center"/>
          </w:tcPr>
          <w:p>
            <w:pPr>
              <w:pageBreakBefore w:val="0"/>
              <w:kinsoku/>
              <w:wordWrap/>
              <w:overflowPunct/>
              <w:topLinePunct w:val="0"/>
              <w:autoSpaceDE/>
              <w:autoSpaceDN/>
              <w:bidi w:val="0"/>
              <w:spacing w:beforeAutospacing="0" w:line="440" w:lineRule="exact"/>
              <w:ind w:left="0" w:firstLine="0" w:firstLineChars="0"/>
              <w:rPr>
                <w:rFonts w:hint="eastAsia" w:ascii="宋体" w:hAnsi="宋体" w:eastAsia="宋体" w:cs="宋体"/>
                <w:sz w:val="24"/>
                <w:szCs w:val="24"/>
              </w:rPr>
            </w:pPr>
            <w:r>
              <w:rPr>
                <w:rFonts w:hint="eastAsia" w:ascii="宋体" w:hAnsi="宋体" w:eastAsia="宋体" w:cs="宋体"/>
                <w:sz w:val="24"/>
                <w:szCs w:val="24"/>
              </w:rPr>
              <w:t>采购人所提供的文件及有关资料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742"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cs="宋体"/>
                <w:sz w:val="24"/>
                <w:szCs w:val="24"/>
                <w:lang w:val="en-US" w:eastAsia="zh-CN"/>
              </w:rPr>
              <w:t>8</w:t>
            </w:r>
          </w:p>
        </w:tc>
        <w:tc>
          <w:tcPr>
            <w:tcW w:w="1729" w:type="dxa"/>
            <w:noWrap/>
            <w:vAlign w:val="center"/>
          </w:tcPr>
          <w:p>
            <w:pPr>
              <w:keepNext w:val="0"/>
              <w:keepLines w:val="0"/>
              <w:pageBreakBefore w:val="0"/>
              <w:kinsoku/>
              <w:wordWrap/>
              <w:overflowPunct/>
              <w:topLinePunct w:val="0"/>
              <w:autoSpaceDE/>
              <w:autoSpaceDN/>
              <w:bidi w:val="0"/>
              <w:adjustRightInd/>
              <w:snapToGrid/>
              <w:spacing w:beforeAutospacing="0" w:line="440" w:lineRule="exact"/>
              <w:ind w:left="0" w:firstLine="0" w:firstLineChars="0"/>
              <w:jc w:val="center"/>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提出问题的截止时间</w:t>
            </w:r>
            <w:r>
              <w:rPr>
                <w:rFonts w:hint="eastAsia" w:ascii="宋体" w:hAnsi="宋体" w:eastAsia="宋体" w:cs="宋体"/>
                <w:sz w:val="24"/>
                <w:szCs w:val="24"/>
                <w:lang w:val="en-US" w:eastAsia="zh-CN"/>
              </w:rPr>
              <w:t>及方式</w:t>
            </w:r>
          </w:p>
        </w:tc>
        <w:tc>
          <w:tcPr>
            <w:tcW w:w="7288" w:type="dxa"/>
            <w:noWrap/>
            <w:vAlign w:val="center"/>
          </w:tcPr>
          <w:p>
            <w:pPr>
              <w:keepNext w:val="0"/>
              <w:keepLines w:val="0"/>
              <w:pageBreakBefore w:val="0"/>
              <w:kinsoku/>
              <w:wordWrap/>
              <w:overflowPunct/>
              <w:topLinePunct w:val="0"/>
              <w:autoSpaceDE/>
              <w:autoSpaceDN/>
              <w:bidi w:val="0"/>
              <w:adjustRightInd/>
              <w:snapToGrid/>
              <w:spacing w:beforeAutospacing="0" w:line="440" w:lineRule="exact"/>
              <w:ind w:left="0" w:firstLine="0" w:firstLineChars="0"/>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lang w:val="en-US" w:eastAsia="zh-CN"/>
              </w:rPr>
              <w:t>磋商报价</w:t>
            </w:r>
            <w:r>
              <w:rPr>
                <w:rFonts w:hint="eastAsia" w:ascii="宋体" w:hAnsi="宋体" w:eastAsia="宋体" w:cs="宋体"/>
                <w:sz w:val="24"/>
                <w:szCs w:val="24"/>
              </w:rPr>
              <w:t>截止时间</w:t>
            </w:r>
            <w:r>
              <w:rPr>
                <w:rFonts w:hint="eastAsia" w:ascii="宋体" w:hAnsi="宋体" w:eastAsia="宋体" w:cs="宋体"/>
                <w:sz w:val="24"/>
                <w:szCs w:val="24"/>
                <w:lang w:val="en-US" w:eastAsia="zh-CN"/>
              </w:rPr>
              <w:t>5</w:t>
            </w:r>
            <w:r>
              <w:rPr>
                <w:rFonts w:hint="eastAsia" w:ascii="宋体" w:hAnsi="宋体" w:eastAsia="宋体" w:cs="宋体"/>
                <w:sz w:val="24"/>
                <w:szCs w:val="24"/>
              </w:rPr>
              <w:t>日前，以书面形式提出并发送电子版（盖章扫描件及word文档格式文件以电子邮件的方式）通知至代理机构（电话：</w:t>
            </w:r>
            <w:r>
              <w:rPr>
                <w:rFonts w:hint="eastAsia" w:ascii="宋体" w:hAnsi="宋体" w:eastAsia="宋体" w:cs="宋体"/>
                <w:sz w:val="24"/>
                <w:szCs w:val="24"/>
                <w:lang w:val="en-US" w:eastAsia="zh-CN"/>
              </w:rPr>
              <w:t>18053093376</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snapToGrid/>
              <w:spacing w:beforeAutospacing="0" w:line="440" w:lineRule="exact"/>
              <w:ind w:left="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rPr>
              <w:t>地址：</w:t>
            </w:r>
            <w:r>
              <w:rPr>
                <w:rFonts w:hint="eastAsia" w:ascii="宋体" w:hAnsi="宋体" w:eastAsia="宋体" w:cs="宋体"/>
                <w:sz w:val="24"/>
                <w:szCs w:val="24"/>
                <w:lang w:val="en-US" w:eastAsia="zh-CN"/>
              </w:rPr>
              <w:t>菏泽市牡丹区毅德城B5区17栋1024号</w:t>
            </w:r>
          </w:p>
          <w:p>
            <w:pPr>
              <w:keepNext w:val="0"/>
              <w:keepLines w:val="0"/>
              <w:pageBreakBefore w:val="0"/>
              <w:kinsoku/>
              <w:wordWrap/>
              <w:overflowPunct/>
              <w:topLinePunct w:val="0"/>
              <w:autoSpaceDE/>
              <w:autoSpaceDN/>
              <w:bidi w:val="0"/>
              <w:adjustRightInd/>
              <w:snapToGrid/>
              <w:spacing w:beforeAutospacing="0" w:line="440" w:lineRule="exact"/>
              <w:ind w:left="0" w:firstLine="0" w:firstLineChars="0"/>
              <w:rPr>
                <w:rFonts w:hint="eastAsia" w:ascii="宋体" w:hAnsi="宋体" w:eastAsia="宋体" w:cs="宋体"/>
                <w:sz w:val="24"/>
                <w:szCs w:val="24"/>
              </w:rPr>
            </w:pPr>
            <w:r>
              <w:rPr>
                <w:rFonts w:hint="eastAsia" w:ascii="宋体" w:hAnsi="宋体" w:eastAsia="宋体" w:cs="宋体"/>
                <w:sz w:val="24"/>
                <w:szCs w:val="24"/>
              </w:rPr>
              <w:t>邮箱：</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"mailto:sdtajk_hz@163.com"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jkjs</w:t>
            </w:r>
            <w:r>
              <w:rPr>
                <w:rFonts w:hint="eastAsia" w:ascii="宋体" w:hAnsi="宋体" w:eastAsia="宋体" w:cs="宋体"/>
                <w:sz w:val="24"/>
                <w:szCs w:val="24"/>
              </w:rPr>
              <w:t>hz@163.com</w:t>
            </w:r>
            <w:r>
              <w:rPr>
                <w:rFonts w:hint="eastAsia" w:ascii="宋体" w:hAnsi="宋体" w:eastAsia="宋体" w:cs="宋体"/>
                <w:sz w:val="24"/>
                <w:szCs w:val="24"/>
              </w:rPr>
              <w:fldChar w:fldCharType="end"/>
            </w:r>
          </w:p>
          <w:p>
            <w:pPr>
              <w:keepNext w:val="0"/>
              <w:keepLines w:val="0"/>
              <w:pageBreakBefore w:val="0"/>
              <w:kinsoku/>
              <w:wordWrap/>
              <w:overflowPunct/>
              <w:topLinePunct w:val="0"/>
              <w:autoSpaceDE/>
              <w:autoSpaceDN/>
              <w:bidi w:val="0"/>
              <w:adjustRightInd/>
              <w:snapToGrid/>
              <w:spacing w:beforeAutospacing="0" w:line="440" w:lineRule="exact"/>
              <w:ind w:left="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提交响应文件</w:t>
            </w:r>
            <w:r>
              <w:rPr>
                <w:rFonts w:hint="eastAsia" w:ascii="宋体" w:hAnsi="宋体" w:eastAsia="宋体" w:cs="宋体"/>
                <w:sz w:val="24"/>
                <w:szCs w:val="24"/>
              </w:rPr>
              <w:t>截止日期</w:t>
            </w:r>
            <w:r>
              <w:rPr>
                <w:rFonts w:hint="eastAsia" w:ascii="宋体" w:hAnsi="宋体" w:eastAsia="宋体" w:cs="宋体"/>
                <w:sz w:val="24"/>
                <w:szCs w:val="24"/>
                <w:lang w:val="en-US" w:eastAsia="zh-CN"/>
              </w:rPr>
              <w:t>5</w:t>
            </w:r>
            <w:r>
              <w:rPr>
                <w:rFonts w:hint="eastAsia" w:ascii="宋体" w:hAnsi="宋体" w:eastAsia="宋体" w:cs="宋体"/>
                <w:sz w:val="24"/>
                <w:szCs w:val="24"/>
              </w:rPr>
              <w:t>日前未提出疑问，将被视同对</w:t>
            </w:r>
            <w:r>
              <w:rPr>
                <w:rFonts w:hint="eastAsia" w:ascii="宋体" w:hAnsi="宋体" w:eastAsia="宋体" w:cs="宋体"/>
                <w:sz w:val="24"/>
                <w:szCs w:val="24"/>
                <w:lang w:eastAsia="zh-CN"/>
              </w:rPr>
              <w:t>竞争性磋商</w:t>
            </w:r>
            <w:r>
              <w:rPr>
                <w:rFonts w:hint="eastAsia" w:ascii="宋体" w:hAnsi="宋体" w:eastAsia="宋体" w:cs="宋体"/>
                <w:sz w:val="24"/>
                <w:szCs w:val="24"/>
                <w:lang w:val="en-US" w:eastAsia="zh-CN"/>
              </w:rPr>
              <w:t>文件</w:t>
            </w:r>
            <w:r>
              <w:rPr>
                <w:rFonts w:hint="eastAsia" w:ascii="宋体" w:hAnsi="宋体" w:eastAsia="宋体" w:cs="宋体"/>
                <w:sz w:val="24"/>
                <w:szCs w:val="24"/>
              </w:rPr>
              <w:t>中的各项内容均无异议</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42"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cs="宋体"/>
                <w:sz w:val="24"/>
                <w:szCs w:val="24"/>
                <w:lang w:val="en-US" w:eastAsia="zh-CN"/>
              </w:rPr>
              <w:t>9</w:t>
            </w:r>
          </w:p>
        </w:tc>
        <w:tc>
          <w:tcPr>
            <w:tcW w:w="1729" w:type="dxa"/>
            <w:noWrap/>
            <w:vAlign w:val="center"/>
          </w:tcPr>
          <w:p>
            <w:pPr>
              <w:keepNext w:val="0"/>
              <w:keepLines w:val="0"/>
              <w:pageBreakBefore w:val="0"/>
              <w:kinsoku/>
              <w:wordWrap/>
              <w:overflowPunct/>
              <w:topLinePunct w:val="0"/>
              <w:autoSpaceDE/>
              <w:autoSpaceDN/>
              <w:bidi w:val="0"/>
              <w:adjustRightInd/>
              <w:snapToGrid/>
              <w:spacing w:beforeAutospacing="0" w:line="440" w:lineRule="exact"/>
              <w:ind w:left="0" w:firstLine="0" w:firstLineChars="0"/>
              <w:jc w:val="center"/>
              <w:rPr>
                <w:rFonts w:hint="eastAsia" w:ascii="宋体" w:hAnsi="宋体" w:eastAsia="宋体" w:cs="宋体"/>
                <w:color w:val="000000"/>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确认收到澄清</w:t>
            </w:r>
            <w:r>
              <w:rPr>
                <w:rFonts w:hint="eastAsia" w:ascii="宋体" w:hAnsi="宋体" w:eastAsia="宋体" w:cs="宋体"/>
                <w:sz w:val="24"/>
                <w:szCs w:val="24"/>
                <w:lang w:eastAsia="zh-CN"/>
              </w:rPr>
              <w:t>、</w:t>
            </w:r>
            <w:r>
              <w:rPr>
                <w:rFonts w:hint="eastAsia" w:ascii="宋体" w:hAnsi="宋体" w:eastAsia="宋体" w:cs="宋体"/>
                <w:sz w:val="24"/>
                <w:szCs w:val="24"/>
              </w:rPr>
              <w:t>修改的时间</w:t>
            </w:r>
          </w:p>
        </w:tc>
        <w:tc>
          <w:tcPr>
            <w:tcW w:w="7288" w:type="dxa"/>
            <w:noWrap/>
            <w:vAlign w:val="center"/>
          </w:tcPr>
          <w:p>
            <w:pPr>
              <w:keepNext w:val="0"/>
              <w:keepLines w:val="0"/>
              <w:pageBreakBefore w:val="0"/>
              <w:kinsoku/>
              <w:wordWrap/>
              <w:overflowPunct/>
              <w:topLinePunct w:val="0"/>
              <w:autoSpaceDE/>
              <w:autoSpaceDN/>
              <w:bidi w:val="0"/>
              <w:adjustRightInd/>
              <w:snapToGrid/>
              <w:spacing w:beforeAutospacing="0" w:line="440" w:lineRule="exact"/>
              <w:ind w:left="0" w:firstLine="0" w:firstLineChars="0"/>
              <w:rPr>
                <w:rFonts w:hint="eastAsia" w:ascii="宋体" w:hAnsi="宋体" w:eastAsia="宋体" w:cs="宋体"/>
                <w:color w:val="000000"/>
                <w:sz w:val="24"/>
                <w:szCs w:val="24"/>
                <w:u w:val="single"/>
              </w:rPr>
            </w:pPr>
            <w:r>
              <w:rPr>
                <w:rFonts w:hint="eastAsia" w:ascii="宋体" w:hAnsi="宋体" w:eastAsia="宋体" w:cs="宋体"/>
                <w:sz w:val="24"/>
                <w:szCs w:val="24"/>
              </w:rPr>
              <w:t>在收到相应澄清文件后24小时内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742"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default" w:ascii="宋体" w:hAnsi="宋体" w:eastAsia="宋体" w:cs="宋体"/>
                <w:sz w:val="24"/>
                <w:szCs w:val="24"/>
                <w:lang w:val="en-US" w:eastAsia="zh-CN"/>
              </w:rPr>
            </w:pPr>
            <w:r>
              <w:rPr>
                <w:rFonts w:hint="eastAsia" w:cs="宋体"/>
                <w:sz w:val="24"/>
                <w:szCs w:val="24"/>
                <w:lang w:val="en-US" w:eastAsia="zh-CN"/>
              </w:rPr>
              <w:t>20</w:t>
            </w:r>
          </w:p>
        </w:tc>
        <w:tc>
          <w:tcPr>
            <w:tcW w:w="1729"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构成响应文件的其他材料</w:t>
            </w:r>
          </w:p>
        </w:tc>
        <w:tc>
          <w:tcPr>
            <w:tcW w:w="7288" w:type="dxa"/>
            <w:noWrap/>
            <w:vAlign w:val="center"/>
          </w:tcPr>
          <w:p>
            <w:pPr>
              <w:pageBreakBefore w:val="0"/>
              <w:kinsoku/>
              <w:wordWrap/>
              <w:overflowPunct/>
              <w:topLinePunct w:val="0"/>
              <w:autoSpaceDE/>
              <w:autoSpaceDN/>
              <w:bidi w:val="0"/>
              <w:spacing w:beforeAutospacing="0" w:line="440" w:lineRule="exact"/>
              <w:ind w:left="0" w:firstLine="0" w:firstLineChars="0"/>
              <w:rPr>
                <w:rFonts w:hint="eastAsia" w:ascii="宋体" w:hAnsi="宋体" w:eastAsia="宋体" w:cs="宋体"/>
                <w:sz w:val="24"/>
                <w:szCs w:val="24"/>
              </w:rPr>
            </w:pPr>
            <w:r>
              <w:rPr>
                <w:rFonts w:hint="eastAsia" w:ascii="宋体" w:hAnsi="宋体" w:eastAsia="宋体" w:cs="宋体"/>
                <w:sz w:val="24"/>
                <w:szCs w:val="24"/>
              </w:rPr>
              <w:t>按照磋商小组要求递交的澄清、补充、修改及说明。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42"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default" w:ascii="宋体" w:hAnsi="宋体" w:eastAsia="宋体" w:cs="宋体"/>
                <w:sz w:val="24"/>
                <w:szCs w:val="24"/>
                <w:lang w:val="en-US" w:eastAsia="zh-CN"/>
              </w:rPr>
            </w:pPr>
            <w:r>
              <w:rPr>
                <w:rFonts w:hint="eastAsia" w:cs="宋体"/>
                <w:sz w:val="24"/>
                <w:szCs w:val="24"/>
                <w:lang w:val="en-US" w:eastAsia="zh-CN"/>
              </w:rPr>
              <w:t>21</w:t>
            </w:r>
          </w:p>
        </w:tc>
        <w:tc>
          <w:tcPr>
            <w:tcW w:w="1729"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报价有效期</w:t>
            </w:r>
          </w:p>
        </w:tc>
        <w:tc>
          <w:tcPr>
            <w:tcW w:w="7288" w:type="dxa"/>
            <w:noWrap/>
            <w:vAlign w:val="center"/>
          </w:tcPr>
          <w:p>
            <w:pPr>
              <w:pageBreakBefore w:val="0"/>
              <w:kinsoku/>
              <w:wordWrap/>
              <w:overflowPunct/>
              <w:topLinePunct w:val="0"/>
              <w:autoSpaceDE/>
              <w:autoSpaceDN/>
              <w:bidi w:val="0"/>
              <w:spacing w:beforeAutospacing="0" w:line="440" w:lineRule="exact"/>
              <w:ind w:left="0" w:firstLine="0" w:firstLineChars="0"/>
              <w:rPr>
                <w:rFonts w:hint="eastAsia" w:ascii="宋体" w:hAnsi="宋体" w:eastAsia="宋体" w:cs="宋体"/>
                <w:sz w:val="24"/>
                <w:szCs w:val="24"/>
              </w:rPr>
            </w:pPr>
            <w:r>
              <w:rPr>
                <w:rFonts w:hint="eastAsia" w:ascii="宋体" w:hAnsi="宋体" w:eastAsia="宋体" w:cs="宋体"/>
                <w:sz w:val="24"/>
                <w:szCs w:val="24"/>
              </w:rPr>
              <w:t>从报价截止之日算起90日历天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42"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default" w:ascii="宋体" w:hAnsi="宋体" w:eastAsia="宋体" w:cs="宋体"/>
                <w:sz w:val="24"/>
                <w:szCs w:val="24"/>
                <w:lang w:val="en-US" w:eastAsia="zh-CN"/>
              </w:rPr>
            </w:pPr>
            <w:r>
              <w:rPr>
                <w:rFonts w:hint="eastAsia" w:cs="宋体"/>
                <w:sz w:val="24"/>
                <w:szCs w:val="24"/>
                <w:lang w:val="en-US" w:eastAsia="zh-CN"/>
              </w:rPr>
              <w:t>22</w:t>
            </w:r>
          </w:p>
        </w:tc>
        <w:tc>
          <w:tcPr>
            <w:tcW w:w="1729"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是否允许递交备选报价方案</w:t>
            </w:r>
          </w:p>
        </w:tc>
        <w:tc>
          <w:tcPr>
            <w:tcW w:w="7288" w:type="dxa"/>
            <w:noWrap/>
            <w:vAlign w:val="center"/>
          </w:tcPr>
          <w:p>
            <w:pPr>
              <w:pageBreakBefore w:val="0"/>
              <w:numPr>
                <w:ilvl w:val="0"/>
                <w:numId w:val="7"/>
              </w:numPr>
              <w:kinsoku/>
              <w:wordWrap/>
              <w:overflowPunct/>
              <w:topLinePunct w:val="0"/>
              <w:autoSpaceDE/>
              <w:autoSpaceDN/>
              <w:bidi w:val="0"/>
              <w:spacing w:beforeAutospacing="0" w:line="440" w:lineRule="exact"/>
              <w:ind w:left="0" w:firstLine="0" w:firstLineChars="0"/>
              <w:rPr>
                <w:rFonts w:hint="eastAsia" w:ascii="宋体" w:hAnsi="宋体" w:eastAsia="宋体" w:cs="宋体"/>
                <w:sz w:val="24"/>
                <w:szCs w:val="24"/>
              </w:rPr>
            </w:pPr>
            <w:r>
              <w:rPr>
                <w:rFonts w:hint="eastAsia" w:ascii="宋体" w:hAnsi="宋体" w:eastAsia="宋体" w:cs="宋体"/>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742"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default" w:ascii="宋体" w:hAnsi="宋体" w:eastAsia="宋体" w:cs="宋体"/>
                <w:sz w:val="24"/>
                <w:szCs w:val="24"/>
                <w:lang w:val="en-US" w:eastAsia="zh-CN"/>
              </w:rPr>
            </w:pPr>
            <w:r>
              <w:rPr>
                <w:rFonts w:hint="eastAsia" w:cs="宋体"/>
                <w:sz w:val="24"/>
                <w:szCs w:val="24"/>
                <w:lang w:val="en-US" w:eastAsia="zh-CN"/>
              </w:rPr>
              <w:t>23</w:t>
            </w:r>
          </w:p>
        </w:tc>
        <w:tc>
          <w:tcPr>
            <w:tcW w:w="1729"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签字或盖章</w:t>
            </w:r>
          </w:p>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要求</w:t>
            </w:r>
          </w:p>
        </w:tc>
        <w:tc>
          <w:tcPr>
            <w:tcW w:w="7288" w:type="dxa"/>
            <w:noWrap/>
            <w:vAlign w:val="center"/>
          </w:tcPr>
          <w:p>
            <w:pPr>
              <w:pageBreakBefore w:val="0"/>
              <w:kinsoku/>
              <w:wordWrap/>
              <w:overflowPunct/>
              <w:topLinePunct w:val="0"/>
              <w:autoSpaceDE/>
              <w:autoSpaceDN/>
              <w:bidi w:val="0"/>
              <w:spacing w:beforeAutospacing="0" w:line="440" w:lineRule="exact"/>
              <w:ind w:left="0" w:firstLine="0" w:firstLineChars="0"/>
              <w:jc w:val="left"/>
              <w:rPr>
                <w:rFonts w:hint="eastAsia" w:ascii="宋体" w:hAnsi="宋体" w:eastAsia="宋体" w:cs="宋体"/>
                <w:sz w:val="24"/>
                <w:szCs w:val="24"/>
              </w:rPr>
            </w:pPr>
            <w:r>
              <w:rPr>
                <w:rFonts w:hint="eastAsia" w:ascii="宋体" w:hAnsi="宋体" w:eastAsia="宋体" w:cs="宋体"/>
                <w:sz w:val="24"/>
                <w:szCs w:val="24"/>
                <w:lang w:eastAsia="zh-CN"/>
              </w:rPr>
              <w:t>响应文件</w:t>
            </w:r>
            <w:r>
              <w:rPr>
                <w:rFonts w:hint="eastAsia" w:ascii="宋体" w:hAnsi="宋体" w:eastAsia="宋体" w:cs="宋体"/>
                <w:sz w:val="24"/>
                <w:szCs w:val="24"/>
              </w:rPr>
              <w:t>应由法定代表人或其授权委托人签字或盖章并加盖</w:t>
            </w:r>
            <w:r>
              <w:rPr>
                <w:rFonts w:hint="eastAsia" w:ascii="宋体" w:hAnsi="宋体" w:eastAsia="宋体" w:cs="宋体"/>
                <w:sz w:val="24"/>
                <w:szCs w:val="24"/>
                <w:lang w:eastAsia="zh-CN"/>
              </w:rPr>
              <w:t>供应商</w:t>
            </w:r>
            <w:r>
              <w:rPr>
                <w:rFonts w:hint="eastAsia" w:ascii="宋体" w:hAnsi="宋体" w:eastAsia="宋体" w:cs="宋体"/>
                <w:sz w:val="24"/>
                <w:szCs w:val="24"/>
              </w:rPr>
              <w:t>单位公章；不符合上述要求的，按无效报价处理。（电子</w:t>
            </w:r>
            <w:r>
              <w:rPr>
                <w:rFonts w:hint="eastAsia" w:cs="宋体"/>
                <w:sz w:val="24"/>
                <w:szCs w:val="24"/>
                <w:lang w:val="en-US" w:eastAsia="zh-CN"/>
              </w:rPr>
              <w:t>响应文件</w:t>
            </w:r>
            <w:r>
              <w:rPr>
                <w:rFonts w:hint="eastAsia" w:ascii="宋体" w:hAnsi="宋体" w:eastAsia="宋体" w:cs="宋体"/>
                <w:sz w:val="24"/>
                <w:szCs w:val="24"/>
              </w:rPr>
              <w:t>中使用电子签章）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42"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default" w:ascii="宋体" w:hAnsi="宋体" w:eastAsia="宋体" w:cs="宋体"/>
                <w:sz w:val="24"/>
                <w:szCs w:val="24"/>
                <w:lang w:val="en-US" w:eastAsia="zh-CN"/>
              </w:rPr>
            </w:pPr>
            <w:r>
              <w:rPr>
                <w:rFonts w:hint="eastAsia" w:cs="宋体"/>
                <w:sz w:val="24"/>
                <w:szCs w:val="24"/>
                <w:lang w:val="en-US" w:eastAsia="zh-CN"/>
              </w:rPr>
              <w:t>24</w:t>
            </w:r>
          </w:p>
        </w:tc>
        <w:tc>
          <w:tcPr>
            <w:tcW w:w="1729"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响应文件</w:t>
            </w:r>
          </w:p>
        </w:tc>
        <w:tc>
          <w:tcPr>
            <w:tcW w:w="7288" w:type="dxa"/>
            <w:noWrap/>
            <w:vAlign w:val="center"/>
          </w:tcPr>
          <w:p>
            <w:pPr>
              <w:pageBreakBefore w:val="0"/>
              <w:kinsoku/>
              <w:wordWrap/>
              <w:overflowPunct/>
              <w:topLinePunct w:val="0"/>
              <w:autoSpaceDE/>
              <w:autoSpaceDN/>
              <w:bidi w:val="0"/>
              <w:spacing w:beforeAutospacing="0" w:line="440" w:lineRule="exact"/>
              <w:ind w:left="0" w:firstLine="0" w:firstLineChars="0"/>
              <w:rPr>
                <w:rFonts w:hint="eastAsia" w:ascii="宋体" w:hAnsi="宋体" w:eastAsia="宋体" w:cs="宋体"/>
                <w:sz w:val="24"/>
                <w:szCs w:val="24"/>
              </w:rPr>
            </w:pPr>
            <w:r>
              <w:rPr>
                <w:rFonts w:hint="eastAsia" w:ascii="宋体" w:hAnsi="宋体" w:eastAsia="宋体" w:cs="宋体"/>
                <w:sz w:val="24"/>
                <w:szCs w:val="24"/>
              </w:rPr>
              <w:t>共计2份，经过加密的电子版响应文件一份，需在递交截止时间前在赢标平台菏泽专区（http://hz.fzbidding.com/）上传。</w:t>
            </w:r>
          </w:p>
          <w:p>
            <w:pPr>
              <w:pageBreakBefore w:val="0"/>
              <w:kinsoku/>
              <w:wordWrap/>
              <w:overflowPunct/>
              <w:topLinePunct w:val="0"/>
              <w:autoSpaceDE/>
              <w:autoSpaceDN/>
              <w:bidi w:val="0"/>
              <w:spacing w:beforeAutospacing="0" w:line="440" w:lineRule="exact"/>
              <w:ind w:left="0" w:firstLine="0" w:firstLineChars="0"/>
              <w:rPr>
                <w:rFonts w:hint="eastAsia" w:ascii="宋体" w:hAnsi="宋体" w:eastAsia="宋体" w:cs="宋体"/>
                <w:sz w:val="24"/>
                <w:szCs w:val="24"/>
              </w:rPr>
            </w:pPr>
            <w:r>
              <w:rPr>
                <w:rFonts w:hint="eastAsia" w:ascii="宋体" w:hAnsi="宋体" w:eastAsia="宋体" w:cs="宋体"/>
                <w:sz w:val="24"/>
                <w:szCs w:val="24"/>
              </w:rPr>
              <w:t>另提交响应文件电子版一份（U盘形式</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单独密封</w:t>
            </w:r>
            <w:r>
              <w:rPr>
                <w:rFonts w:hint="eastAsia" w:ascii="宋体" w:hAnsi="宋体" w:eastAsia="宋体" w:cs="宋体"/>
                <w:sz w:val="24"/>
                <w:szCs w:val="24"/>
              </w:rPr>
              <w:t>），内容为电子签章后的PDF格式响应文件。</w:t>
            </w:r>
          </w:p>
          <w:p>
            <w:pPr>
              <w:pageBreakBefore w:val="0"/>
              <w:kinsoku/>
              <w:wordWrap/>
              <w:overflowPunct/>
              <w:topLinePunct w:val="0"/>
              <w:autoSpaceDE/>
              <w:autoSpaceDN/>
              <w:bidi w:val="0"/>
              <w:spacing w:beforeAutospacing="0" w:line="440" w:lineRule="exact"/>
              <w:ind w:left="0" w:firstLine="0" w:firstLineChars="0"/>
              <w:rPr>
                <w:rFonts w:hint="eastAsia" w:ascii="宋体" w:hAnsi="宋体" w:eastAsia="宋体" w:cs="宋体"/>
                <w:sz w:val="24"/>
                <w:szCs w:val="24"/>
              </w:rPr>
            </w:pPr>
            <w:r>
              <w:rPr>
                <w:rFonts w:hint="eastAsia" w:ascii="宋体" w:hAnsi="宋体" w:eastAsia="宋体" w:cs="宋体"/>
                <w:sz w:val="24"/>
                <w:szCs w:val="24"/>
              </w:rPr>
              <w:t>中标后该企业还需提交</w:t>
            </w:r>
            <w:r>
              <w:rPr>
                <w:rFonts w:hint="eastAsia" w:ascii="宋体" w:hAnsi="宋体" w:eastAsia="宋体" w:cs="宋体"/>
                <w:sz w:val="24"/>
                <w:szCs w:val="24"/>
                <w:lang w:val="en-US" w:eastAsia="zh-CN"/>
              </w:rPr>
              <w:t>四</w:t>
            </w:r>
            <w:r>
              <w:rPr>
                <w:rFonts w:hint="eastAsia" w:ascii="宋体" w:hAnsi="宋体" w:eastAsia="宋体" w:cs="宋体"/>
                <w:sz w:val="24"/>
                <w:szCs w:val="24"/>
              </w:rPr>
              <w:t>份胶装的系统内生成的 PDF 版纸质标书，并加盖公章。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742"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default" w:ascii="宋体" w:hAnsi="宋体" w:eastAsia="宋体" w:cs="宋体"/>
                <w:sz w:val="24"/>
                <w:szCs w:val="24"/>
                <w:lang w:val="en-US" w:eastAsia="zh-CN"/>
              </w:rPr>
            </w:pPr>
            <w:r>
              <w:rPr>
                <w:rFonts w:hint="eastAsia" w:cs="宋体"/>
                <w:sz w:val="24"/>
                <w:szCs w:val="24"/>
                <w:lang w:val="en-US" w:eastAsia="zh-CN"/>
              </w:rPr>
              <w:t>25</w:t>
            </w:r>
          </w:p>
        </w:tc>
        <w:tc>
          <w:tcPr>
            <w:tcW w:w="1729"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装订要求</w:t>
            </w:r>
          </w:p>
        </w:tc>
        <w:tc>
          <w:tcPr>
            <w:tcW w:w="7288" w:type="dxa"/>
            <w:noWrap/>
            <w:vAlign w:val="center"/>
          </w:tcPr>
          <w:p>
            <w:pPr>
              <w:pageBreakBefore w:val="0"/>
              <w:kinsoku/>
              <w:wordWrap/>
              <w:overflowPunct/>
              <w:topLinePunct w:val="0"/>
              <w:autoSpaceDE/>
              <w:autoSpaceDN/>
              <w:bidi w:val="0"/>
              <w:spacing w:beforeAutospacing="0" w:line="440" w:lineRule="exact"/>
              <w:ind w:left="0" w:firstLine="0" w:firstLineChars="0"/>
              <w:rPr>
                <w:rFonts w:hint="eastAsia" w:ascii="宋体" w:hAnsi="宋体" w:eastAsia="宋体" w:cs="宋体"/>
                <w:sz w:val="24"/>
                <w:szCs w:val="24"/>
                <w:u w:val="single"/>
              </w:rPr>
            </w:pPr>
            <w:r>
              <w:rPr>
                <w:rFonts w:hint="eastAsia" w:ascii="宋体" w:hAnsi="宋体" w:eastAsia="宋体" w:cs="宋体"/>
                <w:sz w:val="24"/>
                <w:szCs w:val="24"/>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742"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default" w:ascii="宋体" w:hAnsi="宋体" w:eastAsia="宋体" w:cs="宋体"/>
                <w:sz w:val="24"/>
                <w:szCs w:val="24"/>
                <w:lang w:val="en-US" w:eastAsia="zh-CN"/>
              </w:rPr>
            </w:pPr>
            <w:r>
              <w:rPr>
                <w:rFonts w:hint="eastAsia" w:cs="宋体"/>
                <w:sz w:val="24"/>
                <w:szCs w:val="24"/>
                <w:lang w:val="en-US" w:eastAsia="zh-CN"/>
              </w:rPr>
              <w:t>26</w:t>
            </w:r>
          </w:p>
        </w:tc>
        <w:tc>
          <w:tcPr>
            <w:tcW w:w="1729"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封套上应载明的信息</w:t>
            </w:r>
          </w:p>
        </w:tc>
        <w:tc>
          <w:tcPr>
            <w:tcW w:w="7288" w:type="dxa"/>
            <w:noWrap/>
            <w:vAlign w:val="center"/>
          </w:tcPr>
          <w:p>
            <w:pPr>
              <w:pageBreakBefore w:val="0"/>
              <w:kinsoku/>
              <w:wordWrap/>
              <w:overflowPunct/>
              <w:topLinePunct w:val="0"/>
              <w:autoSpaceDE/>
              <w:autoSpaceDN/>
              <w:bidi w:val="0"/>
              <w:spacing w:beforeAutospacing="0" w:line="440" w:lineRule="exact"/>
              <w:ind w:left="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项目名称：                                    </w:t>
            </w:r>
          </w:p>
          <w:p>
            <w:pPr>
              <w:pageBreakBefore w:val="0"/>
              <w:kinsoku/>
              <w:wordWrap/>
              <w:overflowPunct/>
              <w:topLinePunct w:val="0"/>
              <w:autoSpaceDE/>
              <w:autoSpaceDN/>
              <w:bidi w:val="0"/>
              <w:spacing w:beforeAutospacing="0" w:line="440" w:lineRule="exact"/>
              <w:ind w:left="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项目编号：                              </w:t>
            </w:r>
          </w:p>
          <w:p>
            <w:pPr>
              <w:pageBreakBefore w:val="0"/>
              <w:kinsoku/>
              <w:wordWrap/>
              <w:overflowPunct/>
              <w:topLinePunct w:val="0"/>
              <w:autoSpaceDE/>
              <w:autoSpaceDN/>
              <w:bidi w:val="0"/>
              <w:spacing w:beforeAutospacing="0" w:line="440" w:lineRule="exact"/>
              <w:ind w:left="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供应商名称：                             </w:t>
            </w:r>
          </w:p>
          <w:p>
            <w:pPr>
              <w:pageBreakBefore w:val="0"/>
              <w:kinsoku/>
              <w:wordWrap/>
              <w:overflowPunct/>
              <w:topLinePunct w:val="0"/>
              <w:autoSpaceDE/>
              <w:autoSpaceDN/>
              <w:bidi w:val="0"/>
              <w:spacing w:beforeAutospacing="0" w:line="440" w:lineRule="exact"/>
              <w:ind w:left="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供应商地址：                             </w:t>
            </w:r>
          </w:p>
          <w:p>
            <w:pPr>
              <w:pageBreakBefore w:val="0"/>
              <w:kinsoku/>
              <w:wordWrap/>
              <w:overflowPunct/>
              <w:topLinePunct w:val="0"/>
              <w:autoSpaceDE/>
              <w:autoSpaceDN/>
              <w:bidi w:val="0"/>
              <w:spacing w:beforeAutospacing="0" w:line="440" w:lineRule="exact"/>
              <w:ind w:left="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供应商联系人：                          </w:t>
            </w:r>
          </w:p>
          <w:p>
            <w:pPr>
              <w:pageBreakBefore w:val="0"/>
              <w:kinsoku/>
              <w:wordWrap/>
              <w:overflowPunct/>
              <w:topLinePunct w:val="0"/>
              <w:autoSpaceDE/>
              <w:autoSpaceDN/>
              <w:bidi w:val="0"/>
              <w:spacing w:beforeAutospacing="0" w:line="440" w:lineRule="exact"/>
              <w:ind w:left="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供应商联系电话：                        </w:t>
            </w:r>
          </w:p>
          <w:p>
            <w:pPr>
              <w:pageBreakBefore w:val="0"/>
              <w:kinsoku/>
              <w:wordWrap/>
              <w:overflowPunct/>
              <w:topLinePunct w:val="0"/>
              <w:autoSpaceDE/>
              <w:autoSpaceDN/>
              <w:bidi w:val="0"/>
              <w:spacing w:beforeAutospacing="0" w:line="440" w:lineRule="exact"/>
              <w:ind w:left="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在****年**月**日**时**分前不得开启</w:t>
            </w:r>
          </w:p>
          <w:p>
            <w:pPr>
              <w:pageBreakBefore w:val="0"/>
              <w:kinsoku/>
              <w:wordWrap/>
              <w:overflowPunct/>
              <w:topLinePunct w:val="0"/>
              <w:autoSpaceDE/>
              <w:autoSpaceDN/>
              <w:bidi w:val="0"/>
              <w:spacing w:beforeAutospacing="0" w:line="440" w:lineRule="exact"/>
              <w:ind w:left="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未按照上述要求密封的，其</w:t>
            </w:r>
            <w:r>
              <w:rPr>
                <w:rFonts w:hint="eastAsia" w:ascii="宋体" w:hAnsi="宋体" w:eastAsia="宋体" w:cs="宋体"/>
                <w:color w:val="000000"/>
                <w:sz w:val="24"/>
                <w:szCs w:val="24"/>
                <w:lang w:val="en-US" w:eastAsia="zh-CN"/>
              </w:rPr>
              <w:t>响应</w:t>
            </w:r>
            <w:r>
              <w:rPr>
                <w:rFonts w:hint="eastAsia" w:ascii="宋体" w:hAnsi="宋体" w:eastAsia="宋体" w:cs="宋体"/>
                <w:color w:val="000000"/>
                <w:sz w:val="24"/>
                <w:szCs w:val="24"/>
              </w:rPr>
              <w:t>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742"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default" w:ascii="宋体" w:hAnsi="宋体" w:eastAsia="宋体" w:cs="宋体"/>
                <w:sz w:val="24"/>
                <w:szCs w:val="24"/>
                <w:lang w:val="en-US" w:eastAsia="zh-CN"/>
              </w:rPr>
            </w:pPr>
            <w:r>
              <w:rPr>
                <w:rFonts w:hint="eastAsia" w:cs="宋体"/>
                <w:sz w:val="24"/>
                <w:szCs w:val="24"/>
                <w:lang w:val="en-US" w:eastAsia="zh-CN"/>
              </w:rPr>
              <w:t>27</w:t>
            </w:r>
          </w:p>
        </w:tc>
        <w:tc>
          <w:tcPr>
            <w:tcW w:w="1729"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付款方式</w:t>
            </w:r>
          </w:p>
        </w:tc>
        <w:tc>
          <w:tcPr>
            <w:tcW w:w="7288" w:type="dxa"/>
            <w:noWrap/>
            <w:vAlign w:val="center"/>
          </w:tcPr>
          <w:p>
            <w:pPr>
              <w:pStyle w:val="32"/>
              <w:pageBreakBefore w:val="0"/>
              <w:numPr>
                <w:ilvl w:val="1"/>
                <w:numId w:val="0"/>
              </w:numPr>
              <w:tabs>
                <w:tab w:val="clear" w:pos="567"/>
                <w:tab w:val="clear" w:pos="1140"/>
              </w:tabs>
              <w:kinsoku/>
              <w:wordWrap/>
              <w:overflowPunct/>
              <w:topLinePunct w:val="0"/>
              <w:autoSpaceDE/>
              <w:autoSpaceDN/>
              <w:bidi w:val="0"/>
              <w:adjustRightInd w:val="0"/>
              <w:snapToGrid w:val="0"/>
              <w:spacing w:beforeAutospacing="0" w:after="0" w:line="440" w:lineRule="exact"/>
              <w:ind w:left="0" w:firstLine="0" w:firstLineChars="0"/>
              <w:rPr>
                <w:rFonts w:hint="eastAsia" w:ascii="宋体" w:hAnsi="宋体" w:eastAsia="宋体" w:cs="宋体"/>
                <w:color w:val="000000"/>
                <w:kern w:val="2"/>
                <w:sz w:val="24"/>
                <w:szCs w:val="24"/>
                <w:highlight w:val="none"/>
                <w:lang w:val="en-US" w:eastAsia="zh-CN"/>
              </w:rPr>
            </w:pPr>
            <w:r>
              <w:rPr>
                <w:rFonts w:hint="eastAsia" w:ascii="宋体" w:hAnsi="宋体" w:cs="宋体"/>
                <w:color w:val="000000"/>
                <w:kern w:val="2"/>
                <w:sz w:val="24"/>
                <w:szCs w:val="24"/>
                <w:highlight w:val="none"/>
                <w:lang w:val="en-US" w:eastAsia="zh-CN"/>
              </w:rPr>
              <w:t>合同签订后预付合同总价款的15%，全部服务内容完成并验收合格后，付至合同总价款的90%，一年后无任何问题且服务达到采购人满意付至合同总价款的100%。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742"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default" w:ascii="宋体" w:hAnsi="宋体" w:eastAsia="宋体" w:cs="宋体"/>
                <w:sz w:val="24"/>
                <w:szCs w:val="24"/>
                <w:lang w:val="en-US" w:eastAsia="zh-CN"/>
              </w:rPr>
            </w:pPr>
            <w:r>
              <w:rPr>
                <w:rFonts w:hint="eastAsia" w:cs="宋体"/>
                <w:sz w:val="24"/>
                <w:szCs w:val="24"/>
                <w:lang w:val="en-US" w:eastAsia="zh-CN"/>
              </w:rPr>
              <w:t>28</w:t>
            </w:r>
          </w:p>
        </w:tc>
        <w:tc>
          <w:tcPr>
            <w:tcW w:w="1729" w:type="dxa"/>
            <w:noWrap/>
            <w:vAlign w:val="center"/>
          </w:tcPr>
          <w:p>
            <w:pPr>
              <w:keepNext w:val="0"/>
              <w:keepLines w:val="0"/>
              <w:pageBreakBefore w:val="0"/>
              <w:kinsoku/>
              <w:wordWrap/>
              <w:overflowPunct/>
              <w:topLinePunct w:val="0"/>
              <w:autoSpaceDE/>
              <w:autoSpaceDN/>
              <w:bidi w:val="0"/>
              <w:adjustRightInd/>
              <w:snapToGrid/>
              <w:spacing w:beforeAutospacing="0" w:line="440" w:lineRule="exact"/>
              <w:ind w:left="0" w:firstLine="0" w:firstLineChars="0"/>
              <w:jc w:val="center"/>
              <w:rPr>
                <w:rFonts w:hint="eastAsia" w:ascii="宋体" w:hAnsi="宋体" w:eastAsia="宋体" w:cs="宋体"/>
                <w:sz w:val="24"/>
                <w:szCs w:val="24"/>
              </w:rPr>
            </w:pPr>
            <w:r>
              <w:rPr>
                <w:rFonts w:hint="eastAsia" w:ascii="宋体" w:hAnsi="宋体" w:eastAsia="宋体" w:cs="宋体"/>
                <w:sz w:val="24"/>
                <w:szCs w:val="24"/>
                <w:highlight w:val="none"/>
              </w:rPr>
              <w:t>递交</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截止时间和地点</w:t>
            </w:r>
          </w:p>
        </w:tc>
        <w:tc>
          <w:tcPr>
            <w:tcW w:w="7288" w:type="dxa"/>
            <w:noWrap/>
            <w:vAlign w:val="center"/>
          </w:tcPr>
          <w:p>
            <w:pPr>
              <w:keepNext w:val="0"/>
              <w:keepLines w:val="0"/>
              <w:pageBreakBefore w:val="0"/>
              <w:kinsoku/>
              <w:wordWrap/>
              <w:overflowPunct/>
              <w:topLinePunct w:val="0"/>
              <w:autoSpaceDE/>
              <w:autoSpaceDN/>
              <w:bidi w:val="0"/>
              <w:adjustRightInd/>
              <w:snapToGrid/>
              <w:spacing w:beforeAutospacing="0" w:line="440" w:lineRule="exact"/>
              <w:ind w:left="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详见公告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742"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default" w:ascii="宋体" w:hAnsi="宋体" w:eastAsia="宋体" w:cs="宋体"/>
                <w:sz w:val="24"/>
                <w:szCs w:val="24"/>
                <w:lang w:val="en-US" w:eastAsia="zh-CN"/>
              </w:rPr>
            </w:pPr>
            <w:r>
              <w:rPr>
                <w:rFonts w:hint="eastAsia" w:cs="宋体"/>
                <w:sz w:val="24"/>
                <w:szCs w:val="24"/>
                <w:lang w:val="en-US" w:eastAsia="zh-CN"/>
              </w:rPr>
              <w:t>29</w:t>
            </w:r>
          </w:p>
        </w:tc>
        <w:tc>
          <w:tcPr>
            <w:tcW w:w="1729" w:type="dxa"/>
            <w:noWrap/>
            <w:vAlign w:val="center"/>
          </w:tcPr>
          <w:p>
            <w:pPr>
              <w:keepNext w:val="0"/>
              <w:keepLines w:val="0"/>
              <w:pageBreakBefore w:val="0"/>
              <w:kinsoku/>
              <w:wordWrap/>
              <w:overflowPunct/>
              <w:topLinePunct w:val="0"/>
              <w:autoSpaceDE/>
              <w:autoSpaceDN/>
              <w:bidi w:val="0"/>
              <w:adjustRightInd/>
              <w:snapToGrid/>
              <w:spacing w:beforeAutospacing="0" w:line="440" w:lineRule="exact"/>
              <w:ind w:left="0" w:firstLine="0" w:firstLineChars="0"/>
              <w:jc w:val="center"/>
              <w:rPr>
                <w:rFonts w:hint="eastAsia" w:ascii="宋体" w:hAnsi="宋体" w:eastAsia="宋体" w:cs="宋体"/>
                <w:sz w:val="24"/>
                <w:szCs w:val="24"/>
              </w:rPr>
            </w:pPr>
            <w:r>
              <w:rPr>
                <w:rFonts w:hint="eastAsia" w:ascii="宋体" w:hAnsi="宋体" w:eastAsia="宋体" w:cs="宋体"/>
                <w:sz w:val="24"/>
                <w:szCs w:val="24"/>
                <w:lang w:val="en-US" w:eastAsia="zh-CN"/>
              </w:rPr>
              <w:t>磋商时间和地点</w:t>
            </w:r>
          </w:p>
        </w:tc>
        <w:tc>
          <w:tcPr>
            <w:tcW w:w="7288" w:type="dxa"/>
            <w:noWrap/>
            <w:vAlign w:val="center"/>
          </w:tcPr>
          <w:p>
            <w:pPr>
              <w:keepNext w:val="0"/>
              <w:keepLines w:val="0"/>
              <w:pageBreakBefore w:val="0"/>
              <w:kinsoku/>
              <w:wordWrap/>
              <w:overflowPunct/>
              <w:topLinePunct w:val="0"/>
              <w:autoSpaceDE/>
              <w:autoSpaceDN/>
              <w:bidi w:val="0"/>
              <w:adjustRightInd/>
              <w:snapToGrid/>
              <w:spacing w:beforeAutospacing="0" w:line="440" w:lineRule="exact"/>
              <w:ind w:left="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详见公告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742"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default" w:ascii="宋体" w:hAnsi="宋体" w:eastAsia="宋体" w:cs="宋体"/>
                <w:sz w:val="24"/>
                <w:szCs w:val="24"/>
                <w:lang w:val="en-US" w:eastAsia="zh-CN"/>
              </w:rPr>
            </w:pPr>
            <w:r>
              <w:rPr>
                <w:rFonts w:hint="eastAsia" w:cs="宋体"/>
                <w:sz w:val="24"/>
                <w:szCs w:val="24"/>
                <w:lang w:val="en-US" w:eastAsia="zh-CN"/>
              </w:rPr>
              <w:t>30</w:t>
            </w:r>
          </w:p>
        </w:tc>
        <w:tc>
          <w:tcPr>
            <w:tcW w:w="1729" w:type="dxa"/>
            <w:noWrap/>
            <w:vAlign w:val="center"/>
          </w:tcPr>
          <w:p>
            <w:pPr>
              <w:keepNext w:val="0"/>
              <w:keepLines w:val="0"/>
              <w:pageBreakBefore w:val="0"/>
              <w:kinsoku/>
              <w:wordWrap/>
              <w:overflowPunct/>
              <w:topLinePunct w:val="0"/>
              <w:autoSpaceDE/>
              <w:autoSpaceDN/>
              <w:bidi w:val="0"/>
              <w:adjustRightInd/>
              <w:snapToGrid/>
              <w:spacing w:beforeAutospacing="0" w:line="440" w:lineRule="exact"/>
              <w:ind w:left="0" w:firstLine="0" w:firstLineChars="0"/>
              <w:jc w:val="center"/>
              <w:rPr>
                <w:rFonts w:hint="eastAsia" w:ascii="宋体" w:hAnsi="宋体" w:eastAsia="宋体" w:cs="宋体"/>
                <w:color w:val="000000"/>
                <w:sz w:val="24"/>
                <w:szCs w:val="24"/>
              </w:rPr>
            </w:pPr>
            <w:r>
              <w:rPr>
                <w:rFonts w:hint="eastAsia" w:ascii="宋体" w:hAnsi="宋体" w:eastAsia="宋体" w:cs="宋体"/>
                <w:sz w:val="24"/>
                <w:szCs w:val="24"/>
              </w:rPr>
              <w:t>是否退还</w:t>
            </w:r>
            <w:r>
              <w:rPr>
                <w:rFonts w:hint="eastAsia" w:ascii="宋体" w:hAnsi="宋体" w:eastAsia="宋体" w:cs="宋体"/>
                <w:sz w:val="24"/>
                <w:szCs w:val="24"/>
                <w:lang w:eastAsia="zh-CN"/>
              </w:rPr>
              <w:t>响应文件</w:t>
            </w:r>
          </w:p>
        </w:tc>
        <w:tc>
          <w:tcPr>
            <w:tcW w:w="7288" w:type="dxa"/>
            <w:noWrap/>
            <w:vAlign w:val="center"/>
          </w:tcPr>
          <w:p>
            <w:pPr>
              <w:keepNext w:val="0"/>
              <w:keepLines w:val="0"/>
              <w:pageBreakBefore w:val="0"/>
              <w:kinsoku/>
              <w:wordWrap/>
              <w:overflowPunct/>
              <w:topLinePunct w:val="0"/>
              <w:autoSpaceDE/>
              <w:autoSpaceDN/>
              <w:bidi w:val="0"/>
              <w:adjustRightInd/>
              <w:snapToGrid/>
              <w:spacing w:beforeAutospacing="0" w:line="440" w:lineRule="exact"/>
              <w:ind w:left="0" w:firstLine="0" w:firstLineChars="0"/>
              <w:rPr>
                <w:rFonts w:hint="eastAsia" w:ascii="宋体" w:hAnsi="宋体" w:eastAsia="宋体" w:cs="宋体"/>
                <w:color w:val="000000"/>
                <w:sz w:val="24"/>
                <w:szCs w:val="24"/>
              </w:rPr>
            </w:pPr>
            <w:r>
              <w:rPr>
                <w:rFonts w:hint="eastAsia" w:ascii="宋体" w:hAnsi="宋体" w:eastAsia="宋体"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42"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default" w:ascii="宋体" w:hAnsi="宋体" w:eastAsia="宋体" w:cs="宋体"/>
                <w:sz w:val="24"/>
                <w:szCs w:val="24"/>
                <w:lang w:val="en-US" w:eastAsia="zh-CN"/>
              </w:rPr>
            </w:pPr>
            <w:r>
              <w:rPr>
                <w:rFonts w:hint="eastAsia" w:cs="宋体"/>
                <w:sz w:val="24"/>
                <w:szCs w:val="24"/>
                <w:lang w:val="en-US" w:eastAsia="zh-CN"/>
              </w:rPr>
              <w:t>31</w:t>
            </w:r>
          </w:p>
        </w:tc>
        <w:tc>
          <w:tcPr>
            <w:tcW w:w="1729"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磋商程序</w:t>
            </w:r>
          </w:p>
        </w:tc>
        <w:tc>
          <w:tcPr>
            <w:tcW w:w="7288" w:type="dxa"/>
            <w:noWrap/>
            <w:vAlign w:val="center"/>
          </w:tcPr>
          <w:p>
            <w:pPr>
              <w:keepNext w:val="0"/>
              <w:keepLines w:val="0"/>
              <w:pageBreakBefore w:val="0"/>
              <w:kinsoku/>
              <w:wordWrap/>
              <w:overflowPunct/>
              <w:topLinePunct w:val="0"/>
              <w:autoSpaceDE/>
              <w:autoSpaceDN/>
              <w:bidi w:val="0"/>
              <w:adjustRightInd/>
              <w:snapToGrid/>
              <w:spacing w:beforeAutospacing="0" w:line="440" w:lineRule="exact"/>
              <w:ind w:left="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按下列程序进行开标：</w:t>
            </w:r>
          </w:p>
          <w:p>
            <w:pPr>
              <w:keepNext w:val="0"/>
              <w:keepLines w:val="0"/>
              <w:pageBreakBefore w:val="0"/>
              <w:kinsoku/>
              <w:wordWrap/>
              <w:overflowPunct/>
              <w:topLinePunct w:val="0"/>
              <w:autoSpaceDE/>
              <w:autoSpaceDN/>
              <w:bidi w:val="0"/>
              <w:adjustRightInd/>
              <w:snapToGrid/>
              <w:spacing w:beforeAutospacing="0" w:line="440" w:lineRule="exact"/>
              <w:ind w:left="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1.代理机构通过赢标平台菏泽专区发送开标指令；</w:t>
            </w:r>
          </w:p>
          <w:p>
            <w:pPr>
              <w:keepNext w:val="0"/>
              <w:keepLines w:val="0"/>
              <w:pageBreakBefore w:val="0"/>
              <w:kinsoku/>
              <w:wordWrap/>
              <w:overflowPunct/>
              <w:topLinePunct w:val="0"/>
              <w:autoSpaceDE/>
              <w:autoSpaceDN/>
              <w:bidi w:val="0"/>
              <w:adjustRightInd/>
              <w:snapToGrid/>
              <w:spacing w:beforeAutospacing="0" w:line="440" w:lineRule="exact"/>
              <w:ind w:left="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2.供应商在解密截止时间之前，通过赢标电子招标采购交易平台（菏泽专区）对已递交的电子响应文件进行解密；</w:t>
            </w:r>
          </w:p>
          <w:p>
            <w:pPr>
              <w:keepNext w:val="0"/>
              <w:keepLines w:val="0"/>
              <w:pageBreakBefore w:val="0"/>
              <w:kinsoku/>
              <w:wordWrap/>
              <w:overflowPunct/>
              <w:topLinePunct w:val="0"/>
              <w:autoSpaceDE/>
              <w:autoSpaceDN/>
              <w:bidi w:val="0"/>
              <w:adjustRightInd/>
              <w:snapToGrid/>
              <w:spacing w:beforeAutospacing="0" w:line="440" w:lineRule="exact"/>
              <w:ind w:left="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3.待所有供应商解密完成或到解密截止时间后，代理机构发布开标一览表；</w:t>
            </w:r>
          </w:p>
          <w:p>
            <w:pPr>
              <w:keepNext w:val="0"/>
              <w:keepLines w:val="0"/>
              <w:pageBreakBefore w:val="0"/>
              <w:kinsoku/>
              <w:wordWrap/>
              <w:overflowPunct/>
              <w:topLinePunct w:val="0"/>
              <w:autoSpaceDE/>
              <w:autoSpaceDN/>
              <w:bidi w:val="0"/>
              <w:adjustRightInd/>
              <w:snapToGrid/>
              <w:spacing w:beforeAutospacing="0" w:line="440" w:lineRule="exact"/>
              <w:ind w:left="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4.供应商对开标记录使用CA数字证书进行电子签名，未进行电子签名的视为默认开标记录；</w:t>
            </w:r>
          </w:p>
          <w:p>
            <w:pPr>
              <w:pageBreakBefore w:val="0"/>
              <w:kinsoku/>
              <w:wordWrap/>
              <w:overflowPunct/>
              <w:topLinePunct w:val="0"/>
              <w:autoSpaceDE/>
              <w:autoSpaceDN/>
              <w:bidi w:val="0"/>
              <w:spacing w:beforeAutospacing="0" w:line="440" w:lineRule="exact"/>
              <w:ind w:left="0" w:firstLine="0" w:firstLineChars="0"/>
              <w:rPr>
                <w:rFonts w:hint="eastAsia" w:ascii="宋体" w:hAnsi="宋体" w:eastAsia="宋体" w:cs="宋体"/>
                <w:sz w:val="24"/>
                <w:szCs w:val="24"/>
                <w:u w:val="single"/>
              </w:rPr>
            </w:pPr>
            <w:r>
              <w:rPr>
                <w:rFonts w:hint="eastAsia" w:ascii="宋体" w:hAnsi="宋体" w:eastAsia="宋体" w:cs="宋体"/>
                <w:sz w:val="24"/>
                <w:szCs w:val="24"/>
                <w:lang w:val="en-US" w:eastAsia="zh-CN"/>
              </w:rPr>
              <w:t>5.开标结束。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742"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default" w:ascii="宋体" w:hAnsi="宋体" w:eastAsia="宋体" w:cs="宋体"/>
                <w:sz w:val="24"/>
                <w:szCs w:val="24"/>
                <w:lang w:val="en-US" w:eastAsia="zh-CN"/>
              </w:rPr>
            </w:pPr>
            <w:r>
              <w:rPr>
                <w:rFonts w:hint="eastAsia" w:cs="宋体"/>
                <w:sz w:val="24"/>
                <w:szCs w:val="24"/>
                <w:lang w:val="en-US" w:eastAsia="zh-CN"/>
              </w:rPr>
              <w:t>32</w:t>
            </w:r>
          </w:p>
        </w:tc>
        <w:tc>
          <w:tcPr>
            <w:tcW w:w="1729"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磋商小组的</w:t>
            </w:r>
          </w:p>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组建</w:t>
            </w:r>
          </w:p>
        </w:tc>
        <w:tc>
          <w:tcPr>
            <w:tcW w:w="7288" w:type="dxa"/>
            <w:noWrap/>
            <w:vAlign w:val="center"/>
          </w:tcPr>
          <w:p>
            <w:pPr>
              <w:pageBreakBefore w:val="0"/>
              <w:kinsoku/>
              <w:wordWrap/>
              <w:overflowPunct/>
              <w:topLinePunct w:val="0"/>
              <w:autoSpaceDE/>
              <w:autoSpaceDN/>
              <w:bidi w:val="0"/>
              <w:spacing w:beforeAutospacing="0" w:line="440" w:lineRule="exact"/>
              <w:ind w:left="0" w:firstLine="0" w:firstLineChars="0"/>
              <w:jc w:val="left"/>
              <w:rPr>
                <w:rFonts w:hint="eastAsia" w:ascii="宋体" w:hAnsi="宋体" w:eastAsia="宋体" w:cs="宋体"/>
                <w:sz w:val="24"/>
                <w:szCs w:val="24"/>
                <w:u w:val="single"/>
              </w:rPr>
            </w:pPr>
            <w:r>
              <w:rPr>
                <w:rFonts w:hint="eastAsia" w:ascii="宋体" w:hAnsi="宋体" w:eastAsia="宋体" w:cs="宋体"/>
                <w:sz w:val="24"/>
                <w:szCs w:val="24"/>
                <w:lang w:val="en-US" w:eastAsia="zh-CN"/>
              </w:rPr>
              <w:t>磋商小组3人。其中，采购人</w:t>
            </w:r>
            <w:r>
              <w:rPr>
                <w:rFonts w:hint="eastAsia" w:ascii="宋体" w:hAnsi="宋体" w:eastAsia="宋体" w:cs="宋体"/>
                <w:sz w:val="24"/>
                <w:szCs w:val="24"/>
                <w:lang w:val="zh-CN" w:eastAsia="zh-CN"/>
              </w:rPr>
              <w:t>代表</w:t>
            </w:r>
            <w:r>
              <w:rPr>
                <w:rFonts w:hint="eastAsia" w:ascii="宋体" w:hAnsi="宋体" w:eastAsia="宋体" w:cs="宋体"/>
                <w:sz w:val="24"/>
                <w:szCs w:val="24"/>
                <w:lang w:val="en-US" w:eastAsia="zh-CN"/>
              </w:rPr>
              <w:t>1</w:t>
            </w:r>
            <w:r>
              <w:rPr>
                <w:rFonts w:hint="eastAsia" w:ascii="宋体" w:hAnsi="宋体" w:eastAsia="宋体" w:cs="宋体"/>
                <w:sz w:val="24"/>
                <w:szCs w:val="24"/>
                <w:lang w:val="zh-CN" w:eastAsia="zh-CN"/>
              </w:rPr>
              <w:t>名，其余</w:t>
            </w:r>
            <w:r>
              <w:rPr>
                <w:rFonts w:hint="eastAsia" w:ascii="宋体" w:hAnsi="宋体" w:eastAsia="宋体" w:cs="宋体"/>
                <w:sz w:val="24"/>
                <w:szCs w:val="24"/>
                <w:lang w:val="en-US" w:eastAsia="zh-CN"/>
              </w:rPr>
              <w:t>2名</w:t>
            </w:r>
            <w:r>
              <w:rPr>
                <w:rFonts w:hint="eastAsia" w:ascii="宋体" w:hAnsi="宋体" w:eastAsia="宋体" w:cs="宋体"/>
                <w:sz w:val="24"/>
                <w:szCs w:val="24"/>
                <w:lang w:val="zh-CN" w:eastAsia="zh-CN"/>
              </w:rPr>
              <w:t>成员从山东省政府采购信息公开平台专家库中随机抽取。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742"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default" w:ascii="宋体" w:hAnsi="宋体" w:eastAsia="宋体" w:cs="宋体"/>
                <w:sz w:val="24"/>
                <w:szCs w:val="24"/>
                <w:lang w:val="en-US" w:eastAsia="zh-CN"/>
              </w:rPr>
            </w:pPr>
            <w:r>
              <w:rPr>
                <w:rFonts w:hint="eastAsia" w:cs="宋体"/>
                <w:sz w:val="24"/>
                <w:szCs w:val="24"/>
                <w:lang w:val="en-US" w:eastAsia="zh-CN"/>
              </w:rPr>
              <w:t>33</w:t>
            </w:r>
          </w:p>
        </w:tc>
        <w:tc>
          <w:tcPr>
            <w:tcW w:w="1729"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是否授权磋商小组确定成交人</w:t>
            </w:r>
          </w:p>
        </w:tc>
        <w:tc>
          <w:tcPr>
            <w:tcW w:w="7288" w:type="dxa"/>
            <w:noWrap/>
            <w:vAlign w:val="center"/>
          </w:tcPr>
          <w:p>
            <w:pPr>
              <w:pageBreakBefore w:val="0"/>
              <w:kinsoku/>
              <w:wordWrap/>
              <w:overflowPunct/>
              <w:topLinePunct w:val="0"/>
              <w:autoSpaceDE/>
              <w:autoSpaceDN/>
              <w:bidi w:val="0"/>
              <w:spacing w:beforeAutospacing="0" w:line="440" w:lineRule="exact"/>
              <w:ind w:left="0" w:firstLine="0" w:firstLineChars="0"/>
              <w:jc w:val="left"/>
              <w:rPr>
                <w:rFonts w:hint="eastAsia" w:ascii="宋体" w:hAnsi="宋体" w:eastAsia="宋体" w:cs="宋体"/>
                <w:sz w:val="24"/>
                <w:szCs w:val="24"/>
              </w:rPr>
            </w:pPr>
            <w:r>
              <w:rPr>
                <w:rFonts w:hint="eastAsia" w:ascii="宋体" w:hAnsi="宋体" w:eastAsia="宋体" w:cs="宋体"/>
                <w:sz w:val="24"/>
                <w:szCs w:val="24"/>
              </w:rPr>
              <w:t>□是</w:t>
            </w:r>
          </w:p>
          <w:p>
            <w:pPr>
              <w:pageBreakBefore w:val="0"/>
              <w:kinsoku/>
              <w:wordWrap/>
              <w:overflowPunct/>
              <w:topLinePunct w:val="0"/>
              <w:autoSpaceDE/>
              <w:autoSpaceDN/>
              <w:bidi w:val="0"/>
              <w:spacing w:beforeAutospacing="0" w:line="440" w:lineRule="exact"/>
              <w:ind w:left="0" w:firstLine="0" w:firstLineChars="0"/>
              <w:jc w:val="left"/>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EQ \o\ac(</w:instrText>
            </w:r>
            <w:r>
              <w:rPr>
                <w:rFonts w:hint="eastAsia" w:ascii="宋体" w:hAnsi="宋体" w:eastAsia="宋体" w:cs="宋体"/>
                <w:position w:val="-4"/>
                <w:sz w:val="24"/>
                <w:szCs w:val="24"/>
              </w:rPr>
              <w:instrText xml:space="preserve">□</w:instrText>
            </w:r>
            <w:r>
              <w:rPr>
                <w:rFonts w:hint="eastAsia" w:ascii="宋体" w:hAnsi="宋体" w:eastAsia="宋体" w:cs="宋体"/>
                <w:sz w:val="24"/>
                <w:szCs w:val="24"/>
              </w:rPr>
              <w:instrText xml:space="preserve">,√)</w:instrText>
            </w:r>
            <w:r>
              <w:rPr>
                <w:rFonts w:hint="eastAsia" w:ascii="宋体" w:hAnsi="宋体" w:eastAsia="宋体" w:cs="宋体"/>
                <w:sz w:val="24"/>
                <w:szCs w:val="24"/>
              </w:rPr>
              <w:fldChar w:fldCharType="end"/>
            </w:r>
            <w:r>
              <w:rPr>
                <w:rFonts w:hint="eastAsia" w:ascii="宋体" w:hAnsi="宋体" w:eastAsia="宋体" w:cs="宋体"/>
                <w:sz w:val="24"/>
                <w:szCs w:val="24"/>
              </w:rPr>
              <w:t>否，推荐的成交候选人数：推荐排名最前的三名</w:t>
            </w:r>
            <w:r>
              <w:rPr>
                <w:rFonts w:hint="eastAsia" w:ascii="宋体" w:hAnsi="宋体" w:eastAsia="宋体" w:cs="宋体"/>
                <w:sz w:val="24"/>
                <w:szCs w:val="24"/>
              </w:rPr>
              <w:br w:type="textWrapping"/>
            </w:r>
            <w:r>
              <w:rPr>
                <w:rFonts w:hint="eastAsia" w:ascii="宋体" w:hAnsi="宋体" w:eastAsia="宋体" w:cs="宋体"/>
                <w:sz w:val="24"/>
                <w:szCs w:val="24"/>
                <w:lang w:val="zh-CN"/>
              </w:rPr>
              <w:t>评标委员会向招标人推荐3名</w:t>
            </w:r>
            <w:r>
              <w:rPr>
                <w:rFonts w:hint="eastAsia" w:ascii="宋体" w:hAnsi="宋体" w:eastAsia="宋体" w:cs="宋体"/>
                <w:sz w:val="24"/>
                <w:szCs w:val="24"/>
                <w:lang w:val="en-US" w:eastAsia="zh-CN"/>
              </w:rPr>
              <w:t>成交</w:t>
            </w:r>
            <w:r>
              <w:rPr>
                <w:rFonts w:hint="eastAsia" w:ascii="宋体" w:hAnsi="宋体" w:eastAsia="宋体" w:cs="宋体"/>
                <w:sz w:val="24"/>
                <w:szCs w:val="24"/>
                <w:lang w:val="zh-CN"/>
              </w:rPr>
              <w:t>候选人，</w:t>
            </w:r>
            <w:r>
              <w:rPr>
                <w:rFonts w:hint="eastAsia" w:ascii="宋体" w:hAnsi="宋体" w:eastAsia="宋体" w:cs="宋体"/>
                <w:sz w:val="24"/>
                <w:szCs w:val="24"/>
                <w:lang w:val="en-US" w:eastAsia="zh-CN"/>
              </w:rPr>
              <w:t>采购</w:t>
            </w:r>
            <w:r>
              <w:rPr>
                <w:rFonts w:hint="eastAsia" w:ascii="宋体" w:hAnsi="宋体" w:eastAsia="宋体" w:cs="宋体"/>
                <w:sz w:val="24"/>
                <w:szCs w:val="24"/>
                <w:lang w:val="zh-CN"/>
              </w:rPr>
              <w:t>人应依据评</w:t>
            </w:r>
            <w:r>
              <w:rPr>
                <w:rFonts w:hint="eastAsia" w:ascii="宋体" w:hAnsi="宋体" w:eastAsia="宋体" w:cs="宋体"/>
                <w:sz w:val="24"/>
                <w:szCs w:val="24"/>
                <w:lang w:val="en-US" w:eastAsia="zh-CN"/>
              </w:rPr>
              <w:t>审</w:t>
            </w:r>
            <w:r>
              <w:rPr>
                <w:rFonts w:hint="eastAsia" w:ascii="宋体" w:hAnsi="宋体" w:eastAsia="宋体" w:cs="宋体"/>
                <w:sz w:val="24"/>
                <w:szCs w:val="24"/>
                <w:lang w:val="zh-CN"/>
              </w:rPr>
              <w:t>委员会推荐的排名顺序确定排名第一的</w:t>
            </w:r>
            <w:r>
              <w:rPr>
                <w:rFonts w:hint="eastAsia" w:ascii="宋体" w:hAnsi="宋体" w:eastAsia="宋体" w:cs="宋体"/>
                <w:sz w:val="24"/>
                <w:szCs w:val="24"/>
                <w:lang w:val="zh-CN" w:eastAsia="zh-CN"/>
              </w:rPr>
              <w:t>成交</w:t>
            </w:r>
            <w:r>
              <w:rPr>
                <w:rFonts w:hint="eastAsia" w:ascii="宋体" w:hAnsi="宋体" w:eastAsia="宋体" w:cs="宋体"/>
                <w:sz w:val="24"/>
                <w:szCs w:val="24"/>
                <w:lang w:val="zh-CN"/>
              </w:rPr>
              <w:t>候选人为</w:t>
            </w:r>
            <w:r>
              <w:rPr>
                <w:rFonts w:hint="eastAsia" w:ascii="宋体" w:hAnsi="宋体" w:eastAsia="宋体" w:cs="宋体"/>
                <w:sz w:val="24"/>
                <w:szCs w:val="24"/>
                <w:lang w:val="en-US" w:eastAsia="zh-CN"/>
              </w:rPr>
              <w:t>成交</w:t>
            </w:r>
            <w:r>
              <w:rPr>
                <w:rFonts w:hint="eastAsia" w:ascii="宋体" w:hAnsi="宋体" w:eastAsia="宋体" w:cs="宋体"/>
                <w:sz w:val="24"/>
                <w:szCs w:val="24"/>
                <w:lang w:val="zh-CN"/>
              </w:rPr>
              <w:t>人，排名第一的</w:t>
            </w:r>
            <w:r>
              <w:rPr>
                <w:rFonts w:hint="eastAsia" w:ascii="宋体" w:hAnsi="宋体" w:eastAsia="宋体" w:cs="宋体"/>
                <w:sz w:val="24"/>
                <w:szCs w:val="24"/>
                <w:lang w:val="en-US" w:eastAsia="zh-CN"/>
              </w:rPr>
              <w:t>成交</w:t>
            </w:r>
            <w:r>
              <w:rPr>
                <w:rFonts w:hint="eastAsia" w:ascii="宋体" w:hAnsi="宋体" w:eastAsia="宋体" w:cs="宋体"/>
                <w:sz w:val="24"/>
                <w:szCs w:val="24"/>
                <w:lang w:val="zh-CN"/>
              </w:rPr>
              <w:t>候选人放弃</w:t>
            </w:r>
            <w:r>
              <w:rPr>
                <w:rFonts w:hint="eastAsia" w:ascii="宋体" w:hAnsi="宋体" w:eastAsia="宋体" w:cs="宋体"/>
                <w:sz w:val="24"/>
                <w:szCs w:val="24"/>
                <w:lang w:val="en-US" w:eastAsia="zh-CN"/>
              </w:rPr>
              <w:t>成交</w:t>
            </w:r>
            <w:r>
              <w:rPr>
                <w:rFonts w:hint="eastAsia" w:ascii="宋体" w:hAnsi="宋体" w:eastAsia="宋体" w:cs="宋体"/>
                <w:sz w:val="24"/>
                <w:szCs w:val="24"/>
                <w:lang w:val="zh-CN"/>
              </w:rPr>
              <w:t>、因不可抗力不能履行合同、不按照</w:t>
            </w:r>
            <w:r>
              <w:rPr>
                <w:rFonts w:hint="eastAsia" w:ascii="宋体" w:hAnsi="宋体" w:eastAsia="宋体" w:cs="宋体"/>
                <w:sz w:val="24"/>
                <w:szCs w:val="24"/>
                <w:lang w:val="en-US" w:eastAsia="zh-CN"/>
              </w:rPr>
              <w:t>磋商</w:t>
            </w:r>
            <w:r>
              <w:rPr>
                <w:rFonts w:hint="eastAsia" w:ascii="宋体" w:hAnsi="宋体" w:eastAsia="宋体" w:cs="宋体"/>
                <w:sz w:val="24"/>
                <w:szCs w:val="24"/>
                <w:lang w:val="zh-CN"/>
              </w:rPr>
              <w:t>文件要求提交履约保证金或者被查实存在影响中标结果的违法行为等情形，不符合</w:t>
            </w:r>
            <w:r>
              <w:rPr>
                <w:rFonts w:hint="eastAsia" w:ascii="宋体" w:hAnsi="宋体" w:eastAsia="宋体" w:cs="宋体"/>
                <w:sz w:val="24"/>
                <w:szCs w:val="24"/>
                <w:lang w:val="en-US" w:eastAsia="zh-CN"/>
              </w:rPr>
              <w:t>成交</w:t>
            </w:r>
            <w:r>
              <w:rPr>
                <w:rFonts w:hint="eastAsia" w:ascii="宋体" w:hAnsi="宋体" w:eastAsia="宋体" w:cs="宋体"/>
                <w:sz w:val="24"/>
                <w:szCs w:val="24"/>
                <w:lang w:val="zh-CN"/>
              </w:rPr>
              <w:t>条件的，</w:t>
            </w:r>
            <w:r>
              <w:rPr>
                <w:rFonts w:hint="eastAsia" w:ascii="宋体" w:hAnsi="宋体" w:eastAsia="宋体" w:cs="宋体"/>
                <w:sz w:val="24"/>
                <w:szCs w:val="24"/>
                <w:lang w:val="en-US" w:eastAsia="zh-CN"/>
              </w:rPr>
              <w:t>采购</w:t>
            </w:r>
            <w:r>
              <w:rPr>
                <w:rFonts w:hint="eastAsia" w:ascii="宋体" w:hAnsi="宋体" w:eastAsia="宋体" w:cs="宋体"/>
                <w:sz w:val="24"/>
                <w:szCs w:val="24"/>
                <w:lang w:val="zh-CN"/>
              </w:rPr>
              <w:t>人可以按照评委员会推荐的候选人名单排序依次确定其他</w:t>
            </w:r>
            <w:r>
              <w:rPr>
                <w:rFonts w:hint="eastAsia" w:ascii="宋体" w:hAnsi="宋体" w:eastAsia="宋体" w:cs="宋体"/>
                <w:sz w:val="24"/>
                <w:szCs w:val="24"/>
                <w:lang w:val="en-US" w:eastAsia="zh-CN"/>
              </w:rPr>
              <w:t>成交</w:t>
            </w:r>
            <w:r>
              <w:rPr>
                <w:rFonts w:hint="eastAsia" w:ascii="宋体" w:hAnsi="宋体" w:eastAsia="宋体" w:cs="宋体"/>
                <w:sz w:val="24"/>
                <w:szCs w:val="24"/>
                <w:lang w:val="zh-CN"/>
              </w:rPr>
              <w:t>候选人为</w:t>
            </w:r>
            <w:r>
              <w:rPr>
                <w:rFonts w:hint="eastAsia" w:ascii="宋体" w:hAnsi="宋体" w:eastAsia="宋体" w:cs="宋体"/>
                <w:sz w:val="24"/>
                <w:szCs w:val="24"/>
                <w:lang w:val="en-US" w:eastAsia="zh-CN"/>
              </w:rPr>
              <w:t>成交</w:t>
            </w:r>
            <w:r>
              <w:rPr>
                <w:rFonts w:hint="eastAsia" w:ascii="宋体" w:hAnsi="宋体" w:eastAsia="宋体" w:cs="宋体"/>
                <w:sz w:val="24"/>
                <w:szCs w:val="24"/>
                <w:lang w:val="zh-CN"/>
              </w:rPr>
              <w:t>人，也可以重新招标。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742"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default" w:ascii="宋体" w:hAnsi="宋体" w:eastAsia="宋体" w:cs="宋体"/>
                <w:sz w:val="24"/>
                <w:szCs w:val="24"/>
                <w:lang w:val="en-US" w:eastAsia="zh-CN"/>
              </w:rPr>
            </w:pPr>
            <w:r>
              <w:rPr>
                <w:rFonts w:hint="eastAsia" w:cs="宋体"/>
                <w:sz w:val="24"/>
                <w:szCs w:val="24"/>
                <w:lang w:val="en-US" w:eastAsia="zh-CN"/>
              </w:rPr>
              <w:t>34</w:t>
            </w:r>
          </w:p>
        </w:tc>
        <w:tc>
          <w:tcPr>
            <w:tcW w:w="1729"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采购控制价</w:t>
            </w:r>
          </w:p>
        </w:tc>
        <w:tc>
          <w:tcPr>
            <w:tcW w:w="7288" w:type="dxa"/>
            <w:noWrap/>
            <w:vAlign w:val="center"/>
          </w:tcPr>
          <w:p>
            <w:pPr>
              <w:pageBreakBefore w:val="0"/>
              <w:kinsoku/>
              <w:wordWrap/>
              <w:overflowPunct/>
              <w:topLinePunct w:val="0"/>
              <w:autoSpaceDE/>
              <w:autoSpaceDN/>
              <w:bidi w:val="0"/>
              <w:spacing w:beforeAutospacing="0" w:line="440" w:lineRule="exact"/>
              <w:ind w:left="0" w:firstLine="0" w:firstLineChars="0"/>
              <w:jc w:val="lef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大写：</w:t>
            </w:r>
            <w:r>
              <w:rPr>
                <w:rFonts w:hint="eastAsia" w:cs="宋体"/>
                <w:b/>
                <w:bCs/>
                <w:sz w:val="24"/>
                <w:szCs w:val="24"/>
                <w:highlight w:val="none"/>
                <w:lang w:val="en-US" w:eastAsia="zh-CN"/>
              </w:rPr>
              <w:t>贰拾叁万元整</w:t>
            </w:r>
          </w:p>
          <w:p>
            <w:pPr>
              <w:pageBreakBefore w:val="0"/>
              <w:kinsoku/>
              <w:wordWrap/>
              <w:overflowPunct/>
              <w:topLinePunct w:val="0"/>
              <w:autoSpaceDE/>
              <w:autoSpaceDN/>
              <w:bidi w:val="0"/>
              <w:spacing w:beforeAutospacing="0" w:line="440" w:lineRule="exact"/>
              <w:ind w:left="0" w:firstLine="0" w:firstLineChars="0"/>
              <w:jc w:val="left"/>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小写：</w:t>
            </w:r>
            <w:r>
              <w:rPr>
                <w:rFonts w:hint="eastAsia" w:cs="宋体"/>
                <w:b/>
                <w:bCs/>
                <w:sz w:val="24"/>
                <w:szCs w:val="24"/>
                <w:highlight w:val="none"/>
                <w:lang w:val="en-US" w:eastAsia="zh-CN"/>
              </w:rPr>
              <w:t>230000.00</w:t>
            </w:r>
          </w:p>
          <w:p>
            <w:pPr>
              <w:pageBreakBefore w:val="0"/>
              <w:kinsoku/>
              <w:wordWrap/>
              <w:overflowPunct/>
              <w:topLinePunct w:val="0"/>
              <w:autoSpaceDE/>
              <w:autoSpaceDN/>
              <w:bidi w:val="0"/>
              <w:spacing w:beforeAutospacing="0" w:line="440" w:lineRule="exact"/>
              <w:ind w:left="0" w:firstLine="0" w:firstLineChars="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注：供应商的投标报价不得超过采购控制价 ，否则按无效标处理。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2"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费用承担</w:t>
            </w:r>
          </w:p>
        </w:tc>
        <w:tc>
          <w:tcPr>
            <w:tcW w:w="9017" w:type="dxa"/>
            <w:gridSpan w:val="2"/>
            <w:noWrap/>
            <w:vAlign w:val="center"/>
          </w:tcPr>
          <w:p>
            <w:pPr>
              <w:keepNext w:val="0"/>
              <w:keepLines w:val="0"/>
              <w:pageBreakBefore w:val="0"/>
              <w:numPr>
                <w:ilvl w:val="0"/>
                <w:numId w:val="8"/>
              </w:numPr>
              <w:kinsoku/>
              <w:wordWrap/>
              <w:overflowPunct/>
              <w:topLinePunct w:val="0"/>
              <w:autoSpaceDE/>
              <w:autoSpaceDN/>
              <w:bidi w:val="0"/>
              <w:adjustRightInd/>
              <w:snapToGrid/>
              <w:spacing w:beforeAutospacing="0" w:line="440" w:lineRule="exact"/>
              <w:ind w:left="0" w:firstLine="0" w:firstLineChars="0"/>
              <w:rPr>
                <w:rFonts w:hint="eastAsia" w:ascii="宋体" w:hAnsi="宋体" w:eastAsia="宋体" w:cs="宋体"/>
                <w:bCs/>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招标代理费</w:t>
            </w:r>
            <w:r>
              <w:rPr>
                <w:rFonts w:hint="eastAsia" w:ascii="宋体" w:hAnsi="宋体" w:eastAsia="宋体" w:cs="宋体"/>
                <w:bCs/>
                <w:color w:val="000000"/>
                <w:sz w:val="24"/>
                <w:szCs w:val="24"/>
                <w:highlight w:val="none"/>
                <w:lang w:val="en-US" w:eastAsia="zh-CN"/>
              </w:rPr>
              <w:t>：参考国家发改委（原国家计委）计价格（2002）1980号文规定收费标准计取；由成交单位在领取成交通知书时一次性付清。</w:t>
            </w:r>
          </w:p>
          <w:p>
            <w:pPr>
              <w:keepNext w:val="0"/>
              <w:keepLines w:val="0"/>
              <w:pageBreakBefore w:val="0"/>
              <w:numPr>
                <w:ilvl w:val="0"/>
                <w:numId w:val="0"/>
              </w:numPr>
              <w:kinsoku/>
              <w:wordWrap/>
              <w:overflowPunct/>
              <w:topLinePunct w:val="0"/>
              <w:autoSpaceDE/>
              <w:autoSpaceDN/>
              <w:bidi w:val="0"/>
              <w:adjustRightInd/>
              <w:snapToGrid/>
              <w:spacing w:beforeAutospacing="0" w:line="440" w:lineRule="exact"/>
              <w:ind w:leftChars="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w:t>
            </w:r>
            <w:r>
              <w:rPr>
                <w:rFonts w:hint="eastAsia" w:ascii="宋体" w:hAnsi="宋体" w:eastAsia="宋体" w:cs="宋体"/>
                <w:bCs/>
                <w:color w:val="000000"/>
                <w:sz w:val="24"/>
                <w:szCs w:val="24"/>
                <w:highlight w:val="none"/>
              </w:rPr>
              <w:t>、</w:t>
            </w:r>
            <w:r>
              <w:rPr>
                <w:rFonts w:hint="eastAsia" w:ascii="宋体" w:hAnsi="宋体" w:eastAsia="宋体" w:cs="宋体"/>
                <w:b/>
                <w:bCs/>
                <w:color w:val="auto"/>
                <w:sz w:val="24"/>
                <w:szCs w:val="24"/>
                <w:highlight w:val="none"/>
                <w:lang w:val="en-US" w:eastAsia="zh-CN"/>
              </w:rPr>
              <w:t>电子交易平台收费标准</w:t>
            </w:r>
            <w:r>
              <w:rPr>
                <w:rFonts w:hint="eastAsia" w:ascii="宋体" w:hAnsi="宋体" w:eastAsia="宋体" w:cs="宋体"/>
                <w:b/>
                <w:bCs w:val="0"/>
                <w:color w:val="000000"/>
                <w:sz w:val="24"/>
                <w:szCs w:val="24"/>
                <w:highlight w:val="none"/>
              </w:rPr>
              <w:t>：</w:t>
            </w:r>
            <w:r>
              <w:rPr>
                <w:rFonts w:hint="eastAsia" w:ascii="宋体" w:hAnsi="宋体" w:eastAsia="宋体" w:cs="宋体"/>
                <w:bCs/>
                <w:color w:val="000000"/>
                <w:sz w:val="24"/>
                <w:szCs w:val="24"/>
                <w:highlight w:val="none"/>
              </w:rPr>
              <w:t>按照</w:t>
            </w:r>
            <w:r>
              <w:rPr>
                <w:rFonts w:hint="eastAsia" w:ascii="宋体" w:hAnsi="宋体" w:eastAsia="宋体" w:cs="宋体"/>
                <w:bCs/>
                <w:color w:val="000000"/>
                <w:sz w:val="24"/>
                <w:szCs w:val="24"/>
                <w:highlight w:val="none"/>
                <w:lang w:val="en-US" w:eastAsia="zh-CN"/>
              </w:rPr>
              <w:t>赢标电子招标采购交易平台（菏泽专区）</w:t>
            </w:r>
            <w:r>
              <w:rPr>
                <w:rFonts w:hint="eastAsia" w:ascii="宋体" w:hAnsi="宋体" w:eastAsia="宋体" w:cs="宋体"/>
                <w:bCs/>
                <w:color w:val="000000"/>
                <w:sz w:val="24"/>
                <w:szCs w:val="24"/>
                <w:highlight w:val="none"/>
              </w:rPr>
              <w:t>使用费标准执行。</w:t>
            </w:r>
          </w:p>
          <w:tbl>
            <w:tblPr>
              <w:tblStyle w:val="22"/>
              <w:tblpPr w:leftFromText="180" w:rightFromText="180" w:vertAnchor="text" w:horzAnchor="page" w:tblpX="277" w:tblpY="296"/>
              <w:tblOverlap w:val="never"/>
              <w:tblW w:w="6380" w:type="dxa"/>
              <w:tblInd w:w="0" w:type="dxa"/>
              <w:tblLayout w:type="fixed"/>
              <w:tblCellMar>
                <w:top w:w="0" w:type="dxa"/>
                <w:left w:w="108" w:type="dxa"/>
                <w:bottom w:w="0" w:type="dxa"/>
                <w:right w:w="108" w:type="dxa"/>
              </w:tblCellMar>
            </w:tblPr>
            <w:tblGrid>
              <w:gridCol w:w="1490"/>
              <w:gridCol w:w="2648"/>
              <w:gridCol w:w="2242"/>
            </w:tblGrid>
            <w:tr>
              <w:tblPrEx>
                <w:tblCellMar>
                  <w:top w:w="0" w:type="dxa"/>
                  <w:left w:w="108" w:type="dxa"/>
                  <w:bottom w:w="0" w:type="dxa"/>
                  <w:right w:w="108" w:type="dxa"/>
                </w:tblCellMar>
              </w:tblPrEx>
              <w:trPr>
                <w:trHeight w:val="560" w:hRule="atLeast"/>
              </w:trPr>
              <w:tc>
                <w:tcPr>
                  <w:tcW w:w="638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40" w:lineRule="exact"/>
                    <w:ind w:left="0" w:firstLine="0" w:firstLineChars="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政府采购项目收费标准</w:t>
                  </w:r>
                </w:p>
              </w:tc>
            </w:tr>
            <w:tr>
              <w:tblPrEx>
                <w:tblCellMar>
                  <w:top w:w="0" w:type="dxa"/>
                  <w:left w:w="108" w:type="dxa"/>
                  <w:bottom w:w="0" w:type="dxa"/>
                  <w:right w:w="108" w:type="dxa"/>
                </w:tblCellMar>
              </w:tblPrEx>
              <w:trPr>
                <w:trHeight w:val="533" w:hRule="atLeast"/>
              </w:trPr>
              <w:tc>
                <w:tcPr>
                  <w:tcW w:w="1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40" w:lineRule="exact"/>
                    <w:ind w:lef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区间</w:t>
                  </w:r>
                </w:p>
              </w:tc>
              <w:tc>
                <w:tcPr>
                  <w:tcW w:w="2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40" w:lineRule="exact"/>
                    <w:ind w:lef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概（估）价范围</w:t>
                  </w:r>
                </w:p>
              </w:tc>
              <w:tc>
                <w:tcPr>
                  <w:tcW w:w="22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40" w:lineRule="exact"/>
                    <w:ind w:lef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收费金额</w:t>
                  </w:r>
                </w:p>
              </w:tc>
            </w:tr>
            <w:tr>
              <w:tblPrEx>
                <w:tblCellMar>
                  <w:top w:w="0" w:type="dxa"/>
                  <w:left w:w="108" w:type="dxa"/>
                  <w:bottom w:w="0" w:type="dxa"/>
                  <w:right w:w="108" w:type="dxa"/>
                </w:tblCellMar>
              </w:tblPrEx>
              <w:trPr>
                <w:trHeight w:val="533" w:hRule="atLeast"/>
              </w:trPr>
              <w:tc>
                <w:tcPr>
                  <w:tcW w:w="1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40" w:lineRule="exact"/>
                    <w:ind w:lef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40" w:lineRule="exact"/>
                    <w:ind w:lef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概（估）价&lt;50万</w:t>
                  </w:r>
                </w:p>
              </w:tc>
              <w:tc>
                <w:tcPr>
                  <w:tcW w:w="22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40" w:lineRule="exact"/>
                    <w:ind w:lef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1000元</w:t>
                  </w:r>
                </w:p>
              </w:tc>
            </w:tr>
            <w:tr>
              <w:tblPrEx>
                <w:tblCellMar>
                  <w:top w:w="0" w:type="dxa"/>
                  <w:left w:w="108" w:type="dxa"/>
                  <w:bottom w:w="0" w:type="dxa"/>
                  <w:right w:w="108" w:type="dxa"/>
                </w:tblCellMar>
              </w:tblPrEx>
              <w:trPr>
                <w:trHeight w:val="621" w:hRule="atLeast"/>
              </w:trPr>
              <w:tc>
                <w:tcPr>
                  <w:tcW w:w="1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40" w:lineRule="exact"/>
                    <w:ind w:lef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40" w:lineRule="exact"/>
                    <w:ind w:lef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50万≤概（估）价&lt;300万</w:t>
                  </w:r>
                </w:p>
              </w:tc>
              <w:tc>
                <w:tcPr>
                  <w:tcW w:w="22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40" w:lineRule="exact"/>
                    <w:ind w:lef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2000元</w:t>
                  </w:r>
                </w:p>
              </w:tc>
            </w:tr>
            <w:tr>
              <w:tblPrEx>
                <w:tblCellMar>
                  <w:top w:w="0" w:type="dxa"/>
                  <w:left w:w="108" w:type="dxa"/>
                  <w:bottom w:w="0" w:type="dxa"/>
                  <w:right w:w="108" w:type="dxa"/>
                </w:tblCellMar>
              </w:tblPrEx>
              <w:trPr>
                <w:trHeight w:val="610" w:hRule="atLeast"/>
              </w:trPr>
              <w:tc>
                <w:tcPr>
                  <w:tcW w:w="1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40" w:lineRule="exact"/>
                    <w:ind w:lef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40" w:lineRule="exact"/>
                    <w:ind w:lef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300万≤概（估）价</w:t>
                  </w:r>
                </w:p>
              </w:tc>
              <w:tc>
                <w:tcPr>
                  <w:tcW w:w="22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40" w:lineRule="exact"/>
                    <w:ind w:lef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3000元</w:t>
                  </w:r>
                </w:p>
              </w:tc>
            </w:tr>
          </w:tbl>
          <w:p>
            <w:pPr>
              <w:pageBreakBefore w:val="0"/>
              <w:kinsoku/>
              <w:wordWrap/>
              <w:overflowPunct/>
              <w:topLinePunct w:val="0"/>
              <w:autoSpaceDE/>
              <w:autoSpaceDN/>
              <w:bidi w:val="0"/>
              <w:spacing w:beforeAutospacing="0" w:line="440" w:lineRule="exact"/>
              <w:ind w:left="0" w:firstLine="0" w:firstLineChars="0"/>
              <w:rPr>
                <w:rFonts w:hint="eastAsia" w:ascii="宋体" w:hAnsi="宋体" w:eastAsia="宋体" w:cs="宋体"/>
                <w:bCs/>
                <w:color w:val="000000"/>
                <w:sz w:val="24"/>
                <w:szCs w:val="24"/>
              </w:rPr>
            </w:pPr>
          </w:p>
          <w:p>
            <w:pPr>
              <w:pageBreakBefore w:val="0"/>
              <w:kinsoku/>
              <w:wordWrap/>
              <w:overflowPunct/>
              <w:topLinePunct w:val="0"/>
              <w:autoSpaceDE/>
              <w:autoSpaceDN/>
              <w:bidi w:val="0"/>
              <w:spacing w:beforeAutospacing="0" w:line="440" w:lineRule="exact"/>
              <w:ind w:left="0" w:firstLine="0" w:firstLineChars="0"/>
              <w:jc w:val="left"/>
              <w:rPr>
                <w:rFonts w:hint="eastAsia" w:ascii="宋体" w:hAnsi="宋体" w:eastAsia="宋体" w:cs="宋体"/>
                <w:b/>
                <w:color w:val="000000"/>
                <w:sz w:val="24"/>
                <w:szCs w:val="24"/>
              </w:rPr>
            </w:pPr>
          </w:p>
          <w:p>
            <w:pPr>
              <w:pageBreakBefore w:val="0"/>
              <w:kinsoku/>
              <w:wordWrap/>
              <w:overflowPunct/>
              <w:topLinePunct w:val="0"/>
              <w:autoSpaceDE/>
              <w:autoSpaceDN/>
              <w:bidi w:val="0"/>
              <w:spacing w:beforeAutospacing="0" w:line="440" w:lineRule="exact"/>
              <w:ind w:left="0" w:firstLine="0" w:firstLineChars="0"/>
              <w:jc w:val="left"/>
              <w:rPr>
                <w:rFonts w:hint="eastAsia" w:ascii="宋体" w:hAnsi="宋体" w:eastAsia="宋体" w:cs="宋体"/>
                <w:b/>
                <w:color w:val="000000"/>
                <w:sz w:val="24"/>
                <w:szCs w:val="24"/>
              </w:rPr>
            </w:pPr>
          </w:p>
          <w:p>
            <w:pPr>
              <w:pageBreakBefore w:val="0"/>
              <w:kinsoku/>
              <w:wordWrap/>
              <w:overflowPunct/>
              <w:topLinePunct w:val="0"/>
              <w:autoSpaceDE/>
              <w:autoSpaceDN/>
              <w:bidi w:val="0"/>
              <w:spacing w:beforeAutospacing="0" w:line="440" w:lineRule="exact"/>
              <w:ind w:left="0" w:firstLine="0" w:firstLineChars="0"/>
              <w:jc w:val="left"/>
              <w:rPr>
                <w:rFonts w:hint="eastAsia" w:ascii="宋体" w:hAnsi="宋体" w:eastAsia="宋体" w:cs="宋体"/>
                <w:b/>
                <w:color w:val="000000"/>
                <w:sz w:val="24"/>
                <w:szCs w:val="24"/>
              </w:rPr>
            </w:pPr>
          </w:p>
          <w:p>
            <w:pPr>
              <w:pageBreakBefore w:val="0"/>
              <w:kinsoku/>
              <w:wordWrap/>
              <w:overflowPunct/>
              <w:topLinePunct w:val="0"/>
              <w:autoSpaceDE/>
              <w:autoSpaceDN/>
              <w:bidi w:val="0"/>
              <w:spacing w:beforeAutospacing="0" w:line="440" w:lineRule="exact"/>
              <w:ind w:left="0" w:firstLine="0" w:firstLineChars="0"/>
              <w:jc w:val="left"/>
              <w:rPr>
                <w:rFonts w:hint="eastAsia" w:ascii="宋体" w:hAnsi="宋体" w:eastAsia="宋体" w:cs="宋体"/>
                <w:b/>
                <w:color w:val="000000"/>
                <w:sz w:val="24"/>
                <w:szCs w:val="24"/>
              </w:rPr>
            </w:pPr>
          </w:p>
          <w:p>
            <w:pPr>
              <w:pageBreakBefore w:val="0"/>
              <w:kinsoku/>
              <w:wordWrap/>
              <w:overflowPunct/>
              <w:topLinePunct w:val="0"/>
              <w:autoSpaceDE/>
              <w:autoSpaceDN/>
              <w:bidi w:val="0"/>
              <w:spacing w:beforeAutospacing="0" w:line="440" w:lineRule="exact"/>
              <w:ind w:left="0" w:firstLine="0" w:firstLineChars="0"/>
              <w:jc w:val="left"/>
              <w:rPr>
                <w:rFonts w:hint="eastAsia" w:ascii="宋体" w:hAnsi="宋体" w:eastAsia="宋体" w:cs="宋体"/>
                <w:b/>
                <w:color w:val="000000"/>
                <w:sz w:val="24"/>
                <w:szCs w:val="24"/>
              </w:rPr>
            </w:pPr>
          </w:p>
          <w:p>
            <w:pPr>
              <w:pageBreakBefore w:val="0"/>
              <w:kinsoku/>
              <w:wordWrap/>
              <w:overflowPunct/>
              <w:topLinePunct w:val="0"/>
              <w:autoSpaceDE/>
              <w:autoSpaceDN/>
              <w:bidi w:val="0"/>
              <w:spacing w:beforeAutospacing="0" w:line="440" w:lineRule="exact"/>
              <w:ind w:left="0" w:firstLine="0" w:firstLineChars="0"/>
              <w:jc w:val="left"/>
              <w:rPr>
                <w:rFonts w:hint="eastAsia" w:ascii="宋体" w:hAnsi="宋体" w:eastAsia="宋体" w:cs="宋体"/>
                <w:b/>
                <w:color w:val="000000"/>
                <w:sz w:val="24"/>
                <w:szCs w:val="24"/>
              </w:rPr>
            </w:pPr>
          </w:p>
          <w:p>
            <w:pPr>
              <w:pageBreakBefore w:val="0"/>
              <w:kinsoku/>
              <w:wordWrap/>
              <w:overflowPunct/>
              <w:topLinePunct w:val="0"/>
              <w:autoSpaceDE/>
              <w:autoSpaceDN/>
              <w:bidi w:val="0"/>
              <w:spacing w:beforeAutospacing="0" w:line="440" w:lineRule="exact"/>
              <w:ind w:left="0" w:firstLine="0" w:firstLineChars="0"/>
              <w:jc w:val="left"/>
              <w:rPr>
                <w:rFonts w:hint="eastAsia" w:ascii="宋体" w:hAnsi="宋体" w:eastAsia="宋体" w:cs="宋体"/>
                <w:b/>
                <w:color w:val="000000"/>
                <w:sz w:val="24"/>
                <w:szCs w:val="24"/>
              </w:rPr>
            </w:pPr>
          </w:p>
          <w:p>
            <w:pPr>
              <w:keepNext w:val="0"/>
              <w:keepLines w:val="0"/>
              <w:pageBreakBefore w:val="0"/>
              <w:numPr>
                <w:ilvl w:val="0"/>
                <w:numId w:val="0"/>
              </w:numPr>
              <w:kinsoku/>
              <w:wordWrap/>
              <w:overflowPunct/>
              <w:topLinePunct w:val="0"/>
              <w:autoSpaceDE/>
              <w:autoSpaceDN/>
              <w:bidi w:val="0"/>
              <w:adjustRightInd/>
              <w:snapToGrid/>
              <w:spacing w:line="420" w:lineRule="exact"/>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3、菏泽市公共资源（国有产权）电子平台使用费收费标准如下：</w:t>
            </w:r>
          </w:p>
          <w:p>
            <w:pPr>
              <w:keepNext w:val="0"/>
              <w:keepLines w:val="0"/>
              <w:pageBreakBefore w:val="0"/>
              <w:kinsoku/>
              <w:wordWrap/>
              <w:overflowPunct/>
              <w:topLinePunct w:val="0"/>
              <w:autoSpaceDE/>
              <w:autoSpaceDN/>
              <w:bidi w:val="0"/>
              <w:adjustRightInd/>
              <w:snapToGrid/>
              <w:spacing w:line="420" w:lineRule="exact"/>
              <w:rPr>
                <w:rFonts w:hint="default" w:ascii="宋体" w:hAnsi="宋体" w:eastAsia="宋体" w:cs="宋体"/>
                <w:bCs/>
                <w:color w:val="000000"/>
                <w:sz w:val="24"/>
                <w:szCs w:val="24"/>
                <w:lang w:val="en-US" w:eastAsia="zh-CN"/>
              </w:rPr>
            </w:pPr>
            <w:r>
              <w:rPr>
                <w:rFonts w:hint="eastAsia" w:ascii="宋体" w:hAnsi="宋体" w:eastAsia="宋体" w:cs="宋体"/>
                <w:color w:val="auto"/>
                <w:sz w:val="24"/>
                <w:szCs w:val="24"/>
                <w:highlight w:val="none"/>
                <w:lang w:eastAsia="zh-CN"/>
              </w:rPr>
              <w:t>以中标价为基数，按比例分段累进计费，由</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lang w:eastAsia="zh-CN"/>
              </w:rPr>
              <w:t>人领取</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lang w:eastAsia="zh-CN"/>
              </w:rPr>
              <w:t>通知书前缴纳至菏泽市公共资源（国有产权）交易中心。</w:t>
            </w:r>
            <w:r>
              <w:rPr>
                <w:rFonts w:hint="eastAsia" w:ascii="宋体" w:hAnsi="宋体" w:eastAsia="宋体" w:cs="宋体"/>
                <w:color w:val="auto"/>
                <w:sz w:val="24"/>
                <w:szCs w:val="24"/>
                <w:highlight w:val="none"/>
                <w:lang w:val="en-US" w:eastAsia="zh-CN"/>
              </w:rPr>
              <w:t>具体缴费比例如下：</w:t>
            </w:r>
          </w:p>
          <w:tbl>
            <w:tblPr>
              <w:tblStyle w:val="22"/>
              <w:tblpPr w:leftFromText="180" w:rightFromText="180" w:vertAnchor="text" w:horzAnchor="page" w:tblpX="471" w:tblpY="157"/>
              <w:tblOverlap w:val="never"/>
              <w:tblW w:w="6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2"/>
              <w:gridCol w:w="2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4402" w:type="dxa"/>
                  <w:noWrap w:val="0"/>
                  <w:vAlign w:val="bottom"/>
                </w:tcPr>
                <w:p>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00万元（含</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 xml:space="preserve">00万元）以下部分      </w:t>
                  </w:r>
                  <w:r>
                    <w:rPr>
                      <w:rFonts w:hint="eastAsia" w:ascii="宋体" w:hAnsi="宋体" w:eastAsia="宋体" w:cs="宋体"/>
                      <w:color w:val="auto"/>
                      <w:sz w:val="24"/>
                      <w:szCs w:val="24"/>
                      <w:highlight w:val="none"/>
                      <w:lang w:val="en-US" w:eastAsia="zh-CN"/>
                    </w:rPr>
                    <w:t xml:space="preserve">       </w:t>
                  </w:r>
                </w:p>
              </w:tc>
              <w:tc>
                <w:tcPr>
                  <w:tcW w:w="2137" w:type="dxa"/>
                  <w:noWrap w:val="0"/>
                  <w:vAlign w:val="bottom"/>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0.1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402" w:type="dxa"/>
                  <w:noWrap w:val="0"/>
                  <w:vAlign w:val="bottom"/>
                </w:tcPr>
                <w:p>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00万元—</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00万元（含</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 xml:space="preserve">00万元）       </w:t>
                  </w:r>
                  <w:r>
                    <w:rPr>
                      <w:rFonts w:hint="eastAsia" w:ascii="宋体" w:hAnsi="宋体" w:eastAsia="宋体" w:cs="宋体"/>
                      <w:color w:val="auto"/>
                      <w:sz w:val="24"/>
                      <w:szCs w:val="24"/>
                      <w:highlight w:val="none"/>
                      <w:lang w:val="en-US" w:eastAsia="zh-CN"/>
                    </w:rPr>
                    <w:t xml:space="preserve">     </w:t>
                  </w:r>
                </w:p>
              </w:tc>
              <w:tc>
                <w:tcPr>
                  <w:tcW w:w="2137" w:type="dxa"/>
                  <w:noWrap w:val="0"/>
                  <w:vAlign w:val="bottom"/>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0.1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402" w:type="dxa"/>
                  <w:noWrap w:val="0"/>
                  <w:vAlign w:val="bottom"/>
                </w:tcPr>
                <w:p>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00万元—</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000万元（含</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 xml:space="preserve">000万元）      </w:t>
                  </w:r>
                  <w:r>
                    <w:rPr>
                      <w:rFonts w:hint="eastAsia" w:ascii="宋体" w:hAnsi="宋体" w:eastAsia="宋体" w:cs="宋体"/>
                      <w:color w:val="auto"/>
                      <w:sz w:val="24"/>
                      <w:szCs w:val="24"/>
                      <w:highlight w:val="none"/>
                      <w:lang w:val="en-US" w:eastAsia="zh-CN"/>
                    </w:rPr>
                    <w:t xml:space="preserve">    </w:t>
                  </w:r>
                </w:p>
              </w:tc>
              <w:tc>
                <w:tcPr>
                  <w:tcW w:w="2137" w:type="dxa"/>
                  <w:noWrap w:val="0"/>
                  <w:vAlign w:val="bottom"/>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0.1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402" w:type="dxa"/>
                  <w:noWrap w:val="0"/>
                  <w:vAlign w:val="bottom"/>
                </w:tcPr>
                <w:p>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000万元—</w:t>
                  </w:r>
                  <w:r>
                    <w:rPr>
                      <w:rFonts w:hint="eastAsia" w:ascii="宋体" w:hAnsi="宋体" w:eastAsia="宋体" w:cs="宋体"/>
                      <w:color w:val="auto"/>
                      <w:sz w:val="24"/>
                      <w:szCs w:val="24"/>
                      <w:highlight w:val="none"/>
                      <w:lang w:val="en-US" w:eastAsia="zh-CN"/>
                    </w:rPr>
                    <w:t>3000万元（含3000万元）</w:t>
                  </w:r>
                  <w:r>
                    <w:rPr>
                      <w:rFonts w:hint="eastAsia" w:ascii="宋体" w:hAnsi="宋体" w:eastAsia="宋体" w:cs="宋体"/>
                      <w:color w:val="auto"/>
                      <w:sz w:val="24"/>
                      <w:szCs w:val="24"/>
                      <w:highlight w:val="none"/>
                      <w:lang w:eastAsia="zh-CN"/>
                    </w:rPr>
                    <w:t xml:space="preserve">         </w:t>
                  </w:r>
                </w:p>
              </w:tc>
              <w:tc>
                <w:tcPr>
                  <w:tcW w:w="2137" w:type="dxa"/>
                  <w:noWrap w:val="0"/>
                  <w:vAlign w:val="bottom"/>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4402" w:type="dxa"/>
                  <w:noWrap w:val="0"/>
                  <w:vAlign w:val="bottom"/>
                </w:tcPr>
                <w:p>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000万元—</w:t>
                  </w:r>
                  <w:r>
                    <w:rPr>
                      <w:rFonts w:hint="eastAsia" w:ascii="宋体" w:hAnsi="宋体" w:eastAsia="宋体" w:cs="宋体"/>
                      <w:color w:val="auto"/>
                      <w:sz w:val="24"/>
                      <w:szCs w:val="24"/>
                      <w:highlight w:val="none"/>
                      <w:lang w:val="en-US" w:eastAsia="zh-CN"/>
                    </w:rPr>
                    <w:t xml:space="preserve">5000万元 （含5000万元）                  </w:t>
                  </w:r>
                </w:p>
              </w:tc>
              <w:tc>
                <w:tcPr>
                  <w:tcW w:w="2137" w:type="dxa"/>
                  <w:noWrap w:val="0"/>
                  <w:vAlign w:val="bottom"/>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402" w:type="dxa"/>
                  <w:noWrap w:val="0"/>
                  <w:vAlign w:val="bottom"/>
                </w:tcPr>
                <w:p>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5000万元-1亿元（含1亿元）                </w:t>
                  </w:r>
                </w:p>
              </w:tc>
              <w:tc>
                <w:tcPr>
                  <w:tcW w:w="2137" w:type="dxa"/>
                  <w:noWrap w:val="0"/>
                  <w:vAlign w:val="bottom"/>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0" w:hRule="atLeast"/>
              </w:trPr>
              <w:tc>
                <w:tcPr>
                  <w:tcW w:w="6539" w:type="dxa"/>
                  <w:gridSpan w:val="2"/>
                  <w:noWrap w:val="0"/>
                  <w:vAlign w:val="bottom"/>
                </w:tcPr>
                <w:p>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备注：</w:t>
                  </w:r>
                </w:p>
                <w:p>
                  <w:pPr>
                    <w:pStyle w:val="29"/>
                    <w:keepNext w:val="0"/>
                    <w:keepLines w:val="0"/>
                    <w:pageBreakBefore w:val="0"/>
                    <w:widowControl w:val="0"/>
                    <w:numPr>
                      <w:ilvl w:val="0"/>
                      <w:numId w:val="9"/>
                    </w:numPr>
                    <w:kinsoku/>
                    <w:wordWrap/>
                    <w:overflowPunct/>
                    <w:topLinePunct w:val="0"/>
                    <w:autoSpaceDE/>
                    <w:autoSpaceDN/>
                    <w:bidi w:val="0"/>
                    <w:adjustRightInd/>
                    <w:snapToGrid/>
                    <w:spacing w:line="420" w:lineRule="exact"/>
                    <w:ind w:left="0" w:leftChars="0" w:firstLine="0" w:firstLineChars="0"/>
                    <w:textAlignment w:val="auto"/>
                    <w:rPr>
                      <w:rFonts w:hint="eastAsia" w:ascii="Times New Roman" w:hAnsi="Times New Roman" w:cs="Times New Roman"/>
                      <w:color w:val="auto"/>
                      <w:kern w:val="2"/>
                      <w:sz w:val="24"/>
                      <w:szCs w:val="24"/>
                      <w:highlight w:val="none"/>
                      <w:lang w:val="en-US" w:eastAsia="zh-CN" w:bidi="ar-SA"/>
                    </w:rPr>
                  </w:pPr>
                  <w:r>
                    <w:rPr>
                      <w:rFonts w:hint="eastAsia" w:ascii="Times New Roman" w:hAnsi="Times New Roman" w:cs="Times New Roman"/>
                      <w:color w:val="auto"/>
                      <w:kern w:val="2"/>
                      <w:sz w:val="24"/>
                      <w:szCs w:val="24"/>
                      <w:highlight w:val="none"/>
                      <w:lang w:val="en-US" w:eastAsia="zh-CN" w:bidi="ar-SA"/>
                    </w:rPr>
                    <w:t>单项最低收费1000元。</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Times New Roman" w:hAnsi="Times New Roman" w:cs="Times New Roman"/>
                      <w:color w:val="auto"/>
                      <w:kern w:val="2"/>
                      <w:sz w:val="24"/>
                      <w:szCs w:val="24"/>
                      <w:highlight w:val="none"/>
                      <w:lang w:val="en-US" w:eastAsia="zh-CN" w:bidi="ar-SA"/>
                    </w:rPr>
                  </w:pPr>
                  <w:r>
                    <w:rPr>
                      <w:rFonts w:hint="eastAsia" w:ascii="Times New Roman" w:hAnsi="Times New Roman" w:cs="Times New Roman"/>
                      <w:color w:val="auto"/>
                      <w:kern w:val="2"/>
                      <w:sz w:val="24"/>
                      <w:szCs w:val="24"/>
                      <w:highlight w:val="none"/>
                      <w:lang w:val="en-US" w:eastAsia="zh-CN" w:bidi="ar-SA"/>
                    </w:rPr>
                    <w:t>2、货物与服务类项目中标金额/成交金额超出3000万元（不含3000万元）部分不再收取菏泽市公共资源（国有产权）电子平台使用费。</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color w:val="auto"/>
                      <w:sz w:val="24"/>
                      <w:szCs w:val="24"/>
                      <w:highlight w:val="none"/>
                      <w:lang w:val="en-US" w:eastAsia="zh-CN"/>
                    </w:rPr>
                  </w:pPr>
                  <w:r>
                    <w:rPr>
                      <w:rFonts w:hint="eastAsia" w:ascii="Times New Roman" w:hAnsi="Times New Roman" w:cs="Times New Roman"/>
                      <w:color w:val="auto"/>
                      <w:kern w:val="2"/>
                      <w:sz w:val="24"/>
                      <w:szCs w:val="24"/>
                      <w:highlight w:val="none"/>
                      <w:lang w:val="en-US" w:eastAsia="zh-CN" w:bidi="ar-SA"/>
                    </w:rPr>
                    <w:t>3、工程类项目中标金额/成交金额超出1亿元（不含1亿元）部分不再收取菏泽市公共资源（国有产权）电子平台使用费。</w:t>
                  </w:r>
                </w:p>
              </w:tc>
            </w:tr>
          </w:tbl>
          <w:p>
            <w:pPr>
              <w:pStyle w:val="27"/>
              <w:ind w:left="0" w:leftChars="0" w:firstLine="0" w:firstLineChars="0"/>
              <w:rPr>
                <w:rFonts w:hint="eastAsia" w:eastAsia="宋体"/>
                <w:lang w:val="en-US" w:eastAsia="zh-CN"/>
              </w:rPr>
            </w:pPr>
          </w:p>
          <w:p>
            <w:pPr>
              <w:pageBreakBefore w:val="0"/>
              <w:kinsoku/>
              <w:wordWrap/>
              <w:overflowPunct/>
              <w:topLinePunct w:val="0"/>
              <w:autoSpaceDE/>
              <w:autoSpaceDN/>
              <w:bidi w:val="0"/>
              <w:spacing w:beforeAutospacing="0" w:line="440" w:lineRule="exact"/>
              <w:ind w:left="0" w:firstLine="0" w:firstLineChars="0"/>
              <w:jc w:val="left"/>
              <w:rPr>
                <w:rFonts w:hint="eastAsia" w:ascii="宋体" w:hAnsi="宋体" w:eastAsia="宋体" w:cs="宋体"/>
                <w:b/>
                <w:color w:val="000000"/>
                <w:sz w:val="24"/>
                <w:szCs w:val="24"/>
              </w:rPr>
            </w:pPr>
          </w:p>
          <w:p>
            <w:pPr>
              <w:pageBreakBefore w:val="0"/>
              <w:kinsoku/>
              <w:wordWrap/>
              <w:overflowPunct/>
              <w:topLinePunct w:val="0"/>
              <w:autoSpaceDE/>
              <w:autoSpaceDN/>
              <w:bidi w:val="0"/>
              <w:spacing w:beforeAutospacing="0" w:line="440" w:lineRule="exact"/>
              <w:ind w:left="0" w:firstLine="0" w:firstLineChars="0"/>
              <w:jc w:val="left"/>
              <w:rPr>
                <w:rFonts w:hint="eastAsia" w:ascii="宋体" w:hAnsi="宋体" w:eastAsia="宋体" w:cs="宋体"/>
                <w:b/>
                <w:color w:val="000000"/>
                <w:sz w:val="24"/>
                <w:szCs w:val="24"/>
              </w:rPr>
            </w:pPr>
          </w:p>
          <w:p>
            <w:pPr>
              <w:pageBreakBefore w:val="0"/>
              <w:kinsoku/>
              <w:wordWrap/>
              <w:overflowPunct/>
              <w:topLinePunct w:val="0"/>
              <w:autoSpaceDE/>
              <w:autoSpaceDN/>
              <w:bidi w:val="0"/>
              <w:spacing w:beforeAutospacing="0" w:line="440" w:lineRule="exact"/>
              <w:ind w:left="0" w:firstLine="0" w:firstLineChars="0"/>
              <w:jc w:val="left"/>
              <w:rPr>
                <w:rFonts w:hint="eastAsia" w:ascii="宋体" w:hAnsi="宋体" w:eastAsia="宋体" w:cs="宋体"/>
                <w:b/>
                <w:color w:val="000000"/>
                <w:sz w:val="24"/>
                <w:szCs w:val="24"/>
              </w:rPr>
            </w:pPr>
          </w:p>
          <w:p>
            <w:pPr>
              <w:pageBreakBefore w:val="0"/>
              <w:kinsoku/>
              <w:wordWrap/>
              <w:overflowPunct/>
              <w:topLinePunct w:val="0"/>
              <w:autoSpaceDE/>
              <w:autoSpaceDN/>
              <w:bidi w:val="0"/>
              <w:spacing w:beforeAutospacing="0" w:line="440" w:lineRule="exact"/>
              <w:ind w:left="0" w:firstLine="0" w:firstLineChars="0"/>
              <w:jc w:val="left"/>
              <w:rPr>
                <w:rFonts w:hint="eastAsia" w:ascii="宋体" w:hAnsi="宋体" w:eastAsia="宋体" w:cs="宋体"/>
                <w:b/>
                <w:color w:val="000000"/>
                <w:sz w:val="24"/>
                <w:szCs w:val="24"/>
              </w:rPr>
            </w:pPr>
          </w:p>
          <w:p>
            <w:pPr>
              <w:pageBreakBefore w:val="0"/>
              <w:kinsoku/>
              <w:wordWrap/>
              <w:overflowPunct/>
              <w:topLinePunct w:val="0"/>
              <w:autoSpaceDE/>
              <w:autoSpaceDN/>
              <w:bidi w:val="0"/>
              <w:spacing w:beforeAutospacing="0" w:line="440" w:lineRule="exact"/>
              <w:ind w:left="0" w:firstLine="0" w:firstLineChars="0"/>
              <w:jc w:val="left"/>
              <w:rPr>
                <w:rFonts w:hint="eastAsia" w:ascii="宋体" w:hAnsi="宋体" w:eastAsia="宋体" w:cs="宋体"/>
                <w:b/>
                <w:color w:val="000000"/>
                <w:sz w:val="24"/>
                <w:szCs w:val="24"/>
              </w:rPr>
            </w:pPr>
          </w:p>
          <w:p>
            <w:pPr>
              <w:pageBreakBefore w:val="0"/>
              <w:kinsoku/>
              <w:wordWrap/>
              <w:overflowPunct/>
              <w:topLinePunct w:val="0"/>
              <w:autoSpaceDE/>
              <w:autoSpaceDN/>
              <w:bidi w:val="0"/>
              <w:spacing w:beforeAutospacing="0" w:line="440" w:lineRule="exact"/>
              <w:ind w:left="0" w:firstLine="0" w:firstLineChars="0"/>
              <w:jc w:val="left"/>
              <w:rPr>
                <w:rFonts w:hint="eastAsia" w:ascii="宋体" w:hAnsi="宋体" w:eastAsia="宋体" w:cs="宋体"/>
                <w:b/>
                <w:color w:val="000000"/>
                <w:sz w:val="24"/>
                <w:szCs w:val="24"/>
              </w:rPr>
            </w:pPr>
          </w:p>
          <w:p>
            <w:pPr>
              <w:pageBreakBefore w:val="0"/>
              <w:kinsoku/>
              <w:wordWrap/>
              <w:overflowPunct/>
              <w:topLinePunct w:val="0"/>
              <w:autoSpaceDE/>
              <w:autoSpaceDN/>
              <w:bidi w:val="0"/>
              <w:spacing w:beforeAutospacing="0" w:line="440" w:lineRule="exact"/>
              <w:ind w:left="0" w:firstLine="0" w:firstLineChars="0"/>
              <w:jc w:val="left"/>
              <w:rPr>
                <w:rFonts w:hint="eastAsia" w:ascii="宋体" w:hAnsi="宋体" w:eastAsia="宋体" w:cs="宋体"/>
                <w:b/>
                <w:color w:val="000000"/>
                <w:sz w:val="24"/>
                <w:szCs w:val="24"/>
              </w:rPr>
            </w:pPr>
          </w:p>
          <w:p>
            <w:pPr>
              <w:pageBreakBefore w:val="0"/>
              <w:kinsoku/>
              <w:wordWrap/>
              <w:overflowPunct/>
              <w:topLinePunct w:val="0"/>
              <w:autoSpaceDE/>
              <w:autoSpaceDN/>
              <w:bidi w:val="0"/>
              <w:spacing w:beforeAutospacing="0" w:line="440" w:lineRule="exact"/>
              <w:ind w:left="0" w:firstLine="0" w:firstLineChars="0"/>
              <w:jc w:val="left"/>
              <w:rPr>
                <w:rFonts w:hint="eastAsia" w:ascii="宋体" w:hAnsi="宋体" w:eastAsia="宋体" w:cs="宋体"/>
                <w:b/>
                <w:color w:val="000000"/>
                <w:sz w:val="24"/>
                <w:szCs w:val="24"/>
              </w:rPr>
            </w:pPr>
          </w:p>
          <w:p>
            <w:pPr>
              <w:pageBreakBefore w:val="0"/>
              <w:kinsoku/>
              <w:wordWrap/>
              <w:overflowPunct/>
              <w:topLinePunct w:val="0"/>
              <w:autoSpaceDE/>
              <w:autoSpaceDN/>
              <w:bidi w:val="0"/>
              <w:spacing w:beforeAutospacing="0" w:line="440" w:lineRule="exact"/>
              <w:ind w:left="0" w:firstLine="0" w:firstLineChars="0"/>
              <w:jc w:val="left"/>
              <w:rPr>
                <w:rFonts w:hint="eastAsia" w:ascii="宋体" w:hAnsi="宋体" w:eastAsia="宋体" w:cs="宋体"/>
                <w:b/>
                <w:color w:val="000000"/>
                <w:sz w:val="24"/>
                <w:szCs w:val="24"/>
              </w:rPr>
            </w:pPr>
          </w:p>
          <w:p>
            <w:pPr>
              <w:pageBreakBefore w:val="0"/>
              <w:kinsoku/>
              <w:wordWrap/>
              <w:overflowPunct/>
              <w:topLinePunct w:val="0"/>
              <w:autoSpaceDE/>
              <w:autoSpaceDN/>
              <w:bidi w:val="0"/>
              <w:spacing w:beforeAutospacing="0" w:line="440" w:lineRule="exact"/>
              <w:ind w:left="0" w:firstLine="0" w:firstLineChars="0"/>
              <w:jc w:val="left"/>
              <w:rPr>
                <w:rFonts w:hint="eastAsia" w:ascii="宋体" w:hAnsi="宋体" w:eastAsia="宋体" w:cs="宋体"/>
                <w:b/>
                <w:color w:val="000000"/>
                <w:sz w:val="24"/>
                <w:szCs w:val="24"/>
              </w:rPr>
            </w:pPr>
          </w:p>
          <w:p>
            <w:pPr>
              <w:pageBreakBefore w:val="0"/>
              <w:kinsoku/>
              <w:wordWrap/>
              <w:overflowPunct/>
              <w:topLinePunct w:val="0"/>
              <w:autoSpaceDE/>
              <w:autoSpaceDN/>
              <w:bidi w:val="0"/>
              <w:spacing w:beforeAutospacing="0" w:line="440" w:lineRule="exact"/>
              <w:ind w:left="0" w:firstLine="0" w:firstLineChars="0"/>
              <w:jc w:val="left"/>
              <w:rPr>
                <w:rFonts w:hint="eastAsia" w:ascii="宋体" w:hAnsi="宋体" w:eastAsia="宋体" w:cs="宋体"/>
                <w:b/>
                <w:color w:val="000000"/>
                <w:sz w:val="24"/>
                <w:szCs w:val="24"/>
              </w:rPr>
            </w:pPr>
          </w:p>
          <w:p>
            <w:pPr>
              <w:pStyle w:val="2"/>
              <w:rPr>
                <w:rFonts w:hint="eastAsia" w:ascii="宋体" w:hAnsi="宋体" w:eastAsia="宋体" w:cs="宋体"/>
                <w:b/>
                <w:color w:val="000000"/>
                <w:sz w:val="24"/>
                <w:szCs w:val="24"/>
              </w:rPr>
            </w:pPr>
          </w:p>
          <w:p>
            <w:pPr>
              <w:pStyle w:val="2"/>
              <w:rPr>
                <w:rFonts w:hint="eastAsia" w:ascii="宋体" w:hAnsi="宋体" w:eastAsia="宋体" w:cs="宋体"/>
                <w:b/>
                <w:color w:val="000000"/>
                <w:sz w:val="24"/>
                <w:szCs w:val="24"/>
              </w:rPr>
            </w:pPr>
          </w:p>
          <w:p>
            <w:pPr>
              <w:pageBreakBefore w:val="0"/>
              <w:kinsoku/>
              <w:wordWrap/>
              <w:overflowPunct/>
              <w:topLinePunct w:val="0"/>
              <w:autoSpaceDE/>
              <w:autoSpaceDN/>
              <w:bidi w:val="0"/>
              <w:spacing w:beforeAutospacing="0" w:line="440" w:lineRule="exact"/>
              <w:ind w:left="0" w:firstLine="0" w:firstLineChars="0"/>
              <w:jc w:val="left"/>
              <w:rPr>
                <w:rFonts w:hint="eastAsia" w:ascii="宋体" w:hAnsi="宋体" w:eastAsia="宋体" w:cs="宋体"/>
                <w:sz w:val="24"/>
                <w:szCs w:val="24"/>
              </w:rPr>
            </w:pPr>
            <w:r>
              <w:rPr>
                <w:rFonts w:hint="eastAsia" w:ascii="宋体" w:hAnsi="宋体" w:eastAsia="宋体" w:cs="宋体"/>
                <w:b/>
                <w:color w:val="000000"/>
                <w:sz w:val="24"/>
                <w:szCs w:val="24"/>
              </w:rPr>
              <w:t>注：以上费用由中标单位在领取</w:t>
            </w:r>
            <w:r>
              <w:rPr>
                <w:rFonts w:hint="eastAsia" w:ascii="宋体" w:hAnsi="宋体" w:eastAsia="宋体" w:cs="宋体"/>
                <w:b/>
                <w:color w:val="000000"/>
                <w:sz w:val="24"/>
                <w:szCs w:val="24"/>
                <w:lang w:eastAsia="zh-CN"/>
              </w:rPr>
              <w:t>成交通知书</w:t>
            </w:r>
            <w:r>
              <w:rPr>
                <w:rFonts w:hint="eastAsia" w:ascii="宋体" w:hAnsi="宋体" w:eastAsia="宋体" w:cs="宋体"/>
                <w:b/>
                <w:color w:val="000000"/>
                <w:sz w:val="24"/>
                <w:szCs w:val="24"/>
              </w:rPr>
              <w:t>时一次性缴纳。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42"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b/>
                <w:bCs/>
                <w:kern w:val="0"/>
                <w:sz w:val="24"/>
                <w:szCs w:val="24"/>
              </w:rPr>
            </w:pPr>
            <w:r>
              <w:rPr>
                <w:rFonts w:hint="eastAsia" w:ascii="宋体" w:hAnsi="宋体" w:eastAsia="宋体" w:cs="宋体"/>
                <w:sz w:val="24"/>
                <w:szCs w:val="24"/>
              </w:rPr>
              <w:t>解释权</w:t>
            </w:r>
          </w:p>
        </w:tc>
        <w:tc>
          <w:tcPr>
            <w:tcW w:w="9017" w:type="dxa"/>
            <w:gridSpan w:val="2"/>
            <w:noWrap/>
            <w:vAlign w:val="center"/>
          </w:tcPr>
          <w:p>
            <w:pPr>
              <w:pageBreakBefore w:val="0"/>
              <w:kinsoku/>
              <w:wordWrap/>
              <w:overflowPunct/>
              <w:topLinePunct w:val="0"/>
              <w:autoSpaceDE/>
              <w:autoSpaceDN/>
              <w:bidi w:val="0"/>
              <w:spacing w:beforeAutospacing="0" w:line="440" w:lineRule="exact"/>
              <w:ind w:left="0" w:firstLine="0" w:firstLineChars="0"/>
              <w:rPr>
                <w:rFonts w:hint="eastAsia" w:ascii="宋体" w:hAnsi="宋体" w:eastAsia="宋体" w:cs="宋体"/>
                <w:b/>
                <w:bCs/>
                <w:kern w:val="0"/>
                <w:sz w:val="24"/>
                <w:szCs w:val="24"/>
              </w:rPr>
            </w:pPr>
            <w:r>
              <w:rPr>
                <w:rFonts w:hint="eastAsia" w:ascii="宋体" w:hAnsi="宋体" w:eastAsia="宋体" w:cs="宋体"/>
                <w:b w:val="0"/>
                <w:bCs w:val="0"/>
                <w:kern w:val="0"/>
                <w:sz w:val="24"/>
                <w:szCs w:val="24"/>
              </w:rPr>
              <w:t>构成本</w:t>
            </w:r>
            <w:r>
              <w:rPr>
                <w:rFonts w:hint="eastAsia" w:ascii="宋体" w:hAnsi="宋体" w:eastAsia="宋体" w:cs="宋体"/>
                <w:b w:val="0"/>
                <w:bCs w:val="0"/>
                <w:kern w:val="0"/>
                <w:sz w:val="24"/>
                <w:szCs w:val="24"/>
                <w:lang w:eastAsia="zh-CN"/>
              </w:rPr>
              <w:t>竞争性磋商文件</w:t>
            </w:r>
            <w:r>
              <w:rPr>
                <w:rFonts w:hint="eastAsia" w:ascii="宋体" w:hAnsi="宋体" w:eastAsia="宋体" w:cs="宋体"/>
                <w:b w:val="0"/>
                <w:bCs w:val="0"/>
                <w:kern w:val="0"/>
                <w:sz w:val="24"/>
                <w:szCs w:val="24"/>
              </w:rPr>
              <w:t>的各个组成文件应互为解释，互为说明；如有不明确或不一致，构成合同文件组成内容的，以合同文件约定内容为准，且以专用合同条款约定的合同文件优先顺序解释；除</w:t>
            </w:r>
            <w:r>
              <w:rPr>
                <w:rFonts w:hint="eastAsia" w:ascii="宋体" w:hAnsi="宋体" w:eastAsia="宋体" w:cs="宋体"/>
                <w:b w:val="0"/>
                <w:bCs w:val="0"/>
                <w:kern w:val="0"/>
                <w:sz w:val="24"/>
                <w:szCs w:val="24"/>
                <w:lang w:eastAsia="zh-CN"/>
              </w:rPr>
              <w:t>竞争性磋商文件</w:t>
            </w:r>
            <w:r>
              <w:rPr>
                <w:rFonts w:hint="eastAsia" w:ascii="宋体" w:hAnsi="宋体" w:eastAsia="宋体" w:cs="宋体"/>
                <w:b w:val="0"/>
                <w:bCs w:val="0"/>
                <w:kern w:val="0"/>
                <w:sz w:val="24"/>
                <w:szCs w:val="24"/>
              </w:rPr>
              <w:t>中有特别规定外，仅适用于招标投标阶段的规定，按</w:t>
            </w:r>
            <w:r>
              <w:rPr>
                <w:rFonts w:hint="eastAsia" w:ascii="宋体" w:hAnsi="宋体" w:eastAsia="宋体" w:cs="宋体"/>
                <w:b w:val="0"/>
                <w:bCs w:val="0"/>
                <w:kern w:val="0"/>
                <w:sz w:val="24"/>
                <w:szCs w:val="24"/>
                <w:lang w:eastAsia="zh-CN"/>
              </w:rPr>
              <w:t>竞争性磋商公告</w:t>
            </w:r>
            <w:r>
              <w:rPr>
                <w:rFonts w:hint="eastAsia" w:ascii="宋体" w:hAnsi="宋体" w:eastAsia="宋体" w:cs="宋体"/>
                <w:b w:val="0"/>
                <w:bCs w:val="0"/>
                <w:kern w:val="0"/>
                <w:sz w:val="24"/>
                <w:szCs w:val="24"/>
              </w:rPr>
              <w:t>、</w:t>
            </w:r>
            <w:r>
              <w:rPr>
                <w:rFonts w:hint="eastAsia" w:ascii="宋体" w:hAnsi="宋体" w:eastAsia="宋体" w:cs="宋体"/>
                <w:b w:val="0"/>
                <w:bCs w:val="0"/>
                <w:kern w:val="0"/>
                <w:sz w:val="24"/>
                <w:szCs w:val="24"/>
                <w:lang w:eastAsia="zh-CN"/>
              </w:rPr>
              <w:t>供应商</w:t>
            </w:r>
            <w:r>
              <w:rPr>
                <w:rFonts w:hint="eastAsia" w:ascii="宋体" w:hAnsi="宋体" w:eastAsia="宋体" w:cs="宋体"/>
                <w:b w:val="0"/>
                <w:bCs w:val="0"/>
                <w:kern w:val="0"/>
                <w:sz w:val="24"/>
                <w:szCs w:val="24"/>
              </w:rPr>
              <w:t>须知、评标办法、</w:t>
            </w:r>
            <w:r>
              <w:rPr>
                <w:rFonts w:hint="eastAsia" w:ascii="宋体" w:hAnsi="宋体" w:eastAsia="宋体" w:cs="宋体"/>
                <w:b w:val="0"/>
                <w:bCs w:val="0"/>
                <w:kern w:val="0"/>
                <w:sz w:val="24"/>
                <w:szCs w:val="24"/>
                <w:lang w:eastAsia="zh-CN"/>
              </w:rPr>
              <w:t>响应文件</w:t>
            </w:r>
            <w:r>
              <w:rPr>
                <w:rFonts w:hint="eastAsia" w:ascii="宋体" w:hAnsi="宋体" w:eastAsia="宋体" w:cs="宋体"/>
                <w:b w:val="0"/>
                <w:bCs w:val="0"/>
                <w:kern w:val="0"/>
                <w:sz w:val="24"/>
                <w:szCs w:val="24"/>
              </w:rPr>
              <w:t>格式的先后顺序解释；</w:t>
            </w:r>
            <w:r>
              <w:rPr>
                <w:rFonts w:hint="eastAsia" w:ascii="宋体" w:hAnsi="宋体" w:eastAsia="宋体" w:cs="宋体"/>
                <w:b w:val="0"/>
                <w:bCs w:val="0"/>
                <w:kern w:val="0"/>
                <w:sz w:val="24"/>
                <w:szCs w:val="24"/>
                <w:lang w:eastAsia="zh-CN"/>
              </w:rPr>
              <w:t>供应商</w:t>
            </w:r>
            <w:r>
              <w:rPr>
                <w:rFonts w:hint="eastAsia" w:ascii="宋体" w:hAnsi="宋体" w:eastAsia="宋体" w:cs="宋体"/>
                <w:b w:val="0"/>
                <w:bCs w:val="0"/>
                <w:kern w:val="0"/>
                <w:sz w:val="24"/>
                <w:szCs w:val="24"/>
              </w:rPr>
              <w:t>须知与</w:t>
            </w:r>
            <w:r>
              <w:rPr>
                <w:rFonts w:hint="eastAsia" w:ascii="宋体" w:hAnsi="宋体" w:eastAsia="宋体" w:cs="宋体"/>
                <w:b w:val="0"/>
                <w:bCs w:val="0"/>
                <w:kern w:val="0"/>
                <w:sz w:val="24"/>
                <w:szCs w:val="24"/>
                <w:lang w:eastAsia="zh-CN"/>
              </w:rPr>
              <w:t>供应商</w:t>
            </w:r>
            <w:r>
              <w:rPr>
                <w:rFonts w:hint="eastAsia" w:ascii="宋体" w:hAnsi="宋体" w:eastAsia="宋体" w:cs="宋体"/>
                <w:b w:val="0"/>
                <w:bCs w:val="0"/>
                <w:kern w:val="0"/>
                <w:sz w:val="24"/>
                <w:szCs w:val="24"/>
              </w:rPr>
              <w:t>须知前附表不一致的，以</w:t>
            </w:r>
            <w:r>
              <w:rPr>
                <w:rFonts w:hint="eastAsia" w:ascii="宋体" w:hAnsi="宋体" w:eastAsia="宋体" w:cs="宋体"/>
                <w:b w:val="0"/>
                <w:bCs w:val="0"/>
                <w:kern w:val="0"/>
                <w:sz w:val="24"/>
                <w:szCs w:val="24"/>
                <w:lang w:eastAsia="zh-CN"/>
              </w:rPr>
              <w:t>供应商</w:t>
            </w:r>
            <w:r>
              <w:rPr>
                <w:rFonts w:hint="eastAsia" w:ascii="宋体" w:hAnsi="宋体" w:eastAsia="宋体" w:cs="宋体"/>
                <w:b w:val="0"/>
                <w:bCs w:val="0"/>
                <w:kern w:val="0"/>
                <w:sz w:val="24"/>
                <w:szCs w:val="24"/>
              </w:rPr>
              <w:t>须知前附表为准；同一组成文件中就同一事项的规定或约定不一致的，以编排顺序在后者为准；同一组成文件不同版本之间有不一致的，以形成时间在后者为准。按本款前述规定仍不能形成结论的，由</w:t>
            </w:r>
            <w:r>
              <w:rPr>
                <w:rFonts w:hint="eastAsia" w:ascii="宋体" w:hAnsi="宋体" w:eastAsia="宋体" w:cs="宋体"/>
                <w:b w:val="0"/>
                <w:bCs w:val="0"/>
                <w:kern w:val="0"/>
                <w:sz w:val="24"/>
                <w:szCs w:val="24"/>
                <w:lang w:eastAsia="zh-CN"/>
              </w:rPr>
              <w:t>采购人</w:t>
            </w:r>
            <w:r>
              <w:rPr>
                <w:rFonts w:hint="eastAsia" w:ascii="宋体" w:hAnsi="宋体" w:eastAsia="宋体" w:cs="宋体"/>
                <w:b w:val="0"/>
                <w:bCs w:val="0"/>
                <w:kern w:val="0"/>
                <w:sz w:val="24"/>
                <w:szCs w:val="24"/>
              </w:rPr>
              <w:t>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1" w:hRule="atLeast"/>
        </w:trPr>
        <w:tc>
          <w:tcPr>
            <w:tcW w:w="742"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rPr>
            </w:pPr>
            <w:r>
              <w:rPr>
                <w:rFonts w:hint="eastAsia" w:ascii="宋体" w:hAnsi="宋体" w:eastAsia="宋体" w:cs="宋体"/>
                <w:b/>
                <w:bCs/>
                <w:sz w:val="24"/>
                <w:szCs w:val="24"/>
              </w:rPr>
              <w:t>电子招投标须知</w:t>
            </w:r>
          </w:p>
        </w:tc>
        <w:tc>
          <w:tcPr>
            <w:tcW w:w="9017" w:type="dxa"/>
            <w:gridSpan w:val="2"/>
            <w:noWrap/>
            <w:vAlign w:val="center"/>
          </w:tcPr>
          <w:p>
            <w:pPr>
              <w:keepNext w:val="0"/>
              <w:keepLines w:val="0"/>
              <w:pageBreakBefore w:val="0"/>
              <w:kinsoku/>
              <w:wordWrap/>
              <w:overflowPunct/>
              <w:topLinePunct w:val="0"/>
              <w:autoSpaceDE/>
              <w:autoSpaceDN/>
              <w:bidi w:val="0"/>
              <w:adjustRightInd/>
              <w:snapToGrid/>
              <w:spacing w:beforeAutospacing="0" w:line="440" w:lineRule="exact"/>
              <w:ind w:left="0" w:firstLine="0" w:firstLineChars="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响应文件中其他章节与供应商须知有不一致的内容，以供应商须知内容为准。</w:t>
            </w:r>
          </w:p>
          <w:p>
            <w:pPr>
              <w:keepNext w:val="0"/>
              <w:keepLines w:val="0"/>
              <w:pageBreakBefore w:val="0"/>
              <w:kinsoku/>
              <w:wordWrap/>
              <w:overflowPunct/>
              <w:topLinePunct w:val="0"/>
              <w:autoSpaceDE/>
              <w:autoSpaceDN/>
              <w:bidi w:val="0"/>
              <w:adjustRightInd/>
              <w:snapToGrid/>
              <w:spacing w:beforeAutospacing="0" w:line="440" w:lineRule="exact"/>
              <w:ind w:left="0" w:firstLine="0" w:firstLineChars="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1.本次采购为网上交易，响应文件采用电子评审的方式，供应商应通过赢标电子招标采购交易平台(菏泽专区)http://hz.fzbidding.com/上传经CA加密的电子响应文件。</w:t>
            </w:r>
          </w:p>
          <w:p>
            <w:pPr>
              <w:keepNext w:val="0"/>
              <w:keepLines w:val="0"/>
              <w:pageBreakBefore w:val="0"/>
              <w:kinsoku/>
              <w:wordWrap/>
              <w:overflowPunct/>
              <w:topLinePunct w:val="0"/>
              <w:autoSpaceDE/>
              <w:autoSpaceDN/>
              <w:bidi w:val="0"/>
              <w:adjustRightInd/>
              <w:snapToGrid/>
              <w:spacing w:beforeAutospacing="0" w:line="440" w:lineRule="exact"/>
              <w:ind w:left="0" w:firstLine="0" w:firstLineChars="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在线递交电子响应文件前，供应商应当使用投标客户端及CA为响应文件加密，加密时所有响应文件均只能使用同一把企业CA证书进行加密，否则引起的解密失败的责任由供应商自行承担。加密后请使用投标客户端软件验证解密，以确保电子响应文件未在加密过程中损坏。供应商未按规定加密的响应文件，赢标电子招标采购交易平台(菏泽专区)http://hz.fzbidding.com/将拒绝接收。</w:t>
            </w:r>
          </w:p>
          <w:p>
            <w:pPr>
              <w:keepNext w:val="0"/>
              <w:keepLines w:val="0"/>
              <w:pageBreakBefore w:val="0"/>
              <w:kinsoku/>
              <w:wordWrap/>
              <w:overflowPunct/>
              <w:topLinePunct w:val="0"/>
              <w:autoSpaceDE/>
              <w:autoSpaceDN/>
              <w:bidi w:val="0"/>
              <w:adjustRightInd/>
              <w:snapToGrid/>
              <w:spacing w:beforeAutospacing="0" w:line="440" w:lineRule="exact"/>
              <w:ind w:left="0" w:firstLine="0" w:firstLineChars="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3.供应商须在投标截止时间前，通过投标客户端生成的加密文件，并在磋商文件规定的开标截止时间前登录赢标电子招标采购交易平台(菏泽专区)http://hz.fzbidding.com/递交电子响应文件。</w:t>
            </w:r>
          </w:p>
          <w:p>
            <w:pPr>
              <w:keepNext w:val="0"/>
              <w:keepLines w:val="0"/>
              <w:pageBreakBefore w:val="0"/>
              <w:kinsoku/>
              <w:wordWrap/>
              <w:overflowPunct/>
              <w:topLinePunct w:val="0"/>
              <w:autoSpaceDE/>
              <w:autoSpaceDN/>
              <w:bidi w:val="0"/>
              <w:adjustRightInd/>
              <w:snapToGrid/>
              <w:spacing w:beforeAutospacing="0" w:line="440" w:lineRule="exact"/>
              <w:ind w:left="0" w:firstLine="0" w:firstLineChars="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4.供应商在递交响应文件之后、在规定的截止时间之前，可随时登录赢标电子招标采购交易平台(菏泽专区)http://hz.fzbidding.com/撤回响应文件。需要补充或修改响应文件时，必须先撤回电子响应文件，修改后重新递交。重新递交的响应文件应按磋商文件的规定编制、加密和CA签名。在开标截止时间后，不能修改或撤回响应文件。</w:t>
            </w:r>
          </w:p>
          <w:p>
            <w:pPr>
              <w:keepNext w:val="0"/>
              <w:keepLines w:val="0"/>
              <w:pageBreakBefore w:val="0"/>
              <w:kinsoku/>
              <w:wordWrap/>
              <w:overflowPunct/>
              <w:topLinePunct w:val="0"/>
              <w:autoSpaceDE/>
              <w:autoSpaceDN/>
              <w:bidi w:val="0"/>
              <w:adjustRightInd/>
              <w:snapToGrid/>
              <w:spacing w:beforeAutospacing="0" w:line="440" w:lineRule="exact"/>
              <w:ind w:left="0" w:firstLine="0" w:firstLineChars="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5.供应商按磋商文件中规定的时间和地点公开报价，供应商须自备笔记本电脑、CA准时在线参加报价,供应商需使用CA在规定的时间内自行完成解密，解密结束后对开标记录进行电子签章。若供应商在解密规定时间内未完成电子标解密操作，视为放弃该项目投标资格。电子交易过程出现故障时，按相关部门的规定处理。</w:t>
            </w:r>
          </w:p>
          <w:p>
            <w:pPr>
              <w:pageBreakBefore w:val="0"/>
              <w:kinsoku/>
              <w:wordWrap/>
              <w:overflowPunct/>
              <w:topLinePunct w:val="0"/>
              <w:autoSpaceDE/>
              <w:autoSpaceDN/>
              <w:bidi w:val="0"/>
              <w:spacing w:beforeAutospacing="0" w:line="440" w:lineRule="exact"/>
              <w:ind w:left="0" w:firstLine="0" w:firstLineChars="0"/>
              <w:rPr>
                <w:rFonts w:hint="eastAsia" w:ascii="宋体" w:hAnsi="宋体" w:eastAsia="宋体" w:cs="宋体"/>
                <w:b/>
                <w:bCs/>
                <w:kern w:val="0"/>
                <w:sz w:val="24"/>
                <w:szCs w:val="24"/>
              </w:rPr>
            </w:pPr>
            <w:r>
              <w:rPr>
                <w:rFonts w:hint="eastAsia" w:ascii="宋体" w:hAnsi="宋体" w:eastAsia="宋体" w:cs="宋体"/>
                <w:b w:val="0"/>
                <w:bCs w:val="0"/>
                <w:color w:val="000000"/>
                <w:kern w:val="2"/>
                <w:sz w:val="24"/>
                <w:szCs w:val="24"/>
                <w:lang w:val="en-US" w:eastAsia="zh-CN" w:bidi="ar-SA"/>
              </w:rPr>
              <w:t>《操作手册》可在http://hz.fzbidding.com/“下载中心”栏目进行下载。供应商在使用电子招投标平台时，如有任何疑问，请拨打客服电话15898683755。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742" w:type="dxa"/>
            <w:noWrap/>
            <w:vAlign w:val="center"/>
          </w:tcPr>
          <w:p>
            <w:pPr>
              <w:pageBreakBefore w:val="0"/>
              <w:kinsoku/>
              <w:wordWrap/>
              <w:overflowPunct/>
              <w:topLinePunct w:val="0"/>
              <w:autoSpaceDE/>
              <w:autoSpaceDN/>
              <w:bidi w:val="0"/>
              <w:spacing w:beforeAutospacing="0" w:line="440" w:lineRule="exact"/>
              <w:ind w:left="0" w:firstLine="0" w:firstLineChars="0"/>
              <w:jc w:val="center"/>
              <w:rPr>
                <w:rFonts w:hint="eastAsia" w:ascii="宋体" w:hAnsi="宋体" w:eastAsia="宋体" w:cs="宋体"/>
                <w:sz w:val="24"/>
                <w:szCs w:val="24"/>
              </w:rPr>
            </w:pPr>
            <w:r>
              <w:rPr>
                <w:rFonts w:hint="eastAsia" w:ascii="宋体" w:hAnsi="宋体" w:eastAsia="宋体" w:cs="宋体"/>
                <w:b/>
                <w:bCs/>
                <w:sz w:val="24"/>
                <w:szCs w:val="24"/>
              </w:rPr>
              <w:t>电子招投标的应急措施</w:t>
            </w:r>
          </w:p>
        </w:tc>
        <w:tc>
          <w:tcPr>
            <w:tcW w:w="9017" w:type="dxa"/>
            <w:gridSpan w:val="2"/>
            <w:noWrap/>
            <w:vAlign w:val="center"/>
          </w:tcPr>
          <w:p>
            <w:pPr>
              <w:pageBreakBefore w:val="0"/>
              <w:kinsoku/>
              <w:wordWrap/>
              <w:overflowPunct/>
              <w:topLinePunct w:val="0"/>
              <w:autoSpaceDE/>
              <w:autoSpaceDN/>
              <w:bidi w:val="0"/>
              <w:spacing w:beforeAutospacing="0" w:line="440" w:lineRule="exact"/>
              <w:ind w:left="0" w:firstLine="0" w:firstLineChars="0"/>
              <w:jc w:val="left"/>
              <w:rPr>
                <w:rFonts w:hint="eastAsia" w:ascii="宋体" w:hAnsi="宋体" w:eastAsia="宋体" w:cs="宋体"/>
                <w:bCs/>
                <w:sz w:val="24"/>
                <w:szCs w:val="24"/>
              </w:rPr>
            </w:pPr>
            <w:r>
              <w:rPr>
                <w:rFonts w:hint="eastAsia" w:ascii="宋体" w:hAnsi="宋体" w:eastAsia="宋体" w:cs="宋体"/>
                <w:bCs/>
                <w:sz w:val="24"/>
                <w:szCs w:val="24"/>
              </w:rPr>
              <w:t xml:space="preserve">电子开标、评标如出现下列原因，导致系统无法正常运行或无法正常评标时，应采取应急措施。 </w:t>
            </w:r>
          </w:p>
          <w:p>
            <w:pPr>
              <w:pageBreakBefore w:val="0"/>
              <w:kinsoku/>
              <w:wordWrap/>
              <w:overflowPunct/>
              <w:topLinePunct w:val="0"/>
              <w:autoSpaceDE/>
              <w:autoSpaceDN/>
              <w:bidi w:val="0"/>
              <w:spacing w:beforeAutospacing="0" w:line="440" w:lineRule="exact"/>
              <w:ind w:left="0" w:firstLine="0" w:firstLineChars="0"/>
              <w:jc w:val="left"/>
              <w:rPr>
                <w:rFonts w:hint="eastAsia" w:ascii="宋体" w:hAnsi="宋体" w:eastAsia="宋体" w:cs="宋体"/>
                <w:bCs/>
                <w:sz w:val="24"/>
                <w:szCs w:val="24"/>
              </w:rPr>
            </w:pPr>
            <w:r>
              <w:rPr>
                <w:rFonts w:hint="eastAsia" w:ascii="宋体" w:hAnsi="宋体" w:eastAsia="宋体" w:cs="宋体"/>
                <w:bCs/>
                <w:sz w:val="24"/>
                <w:szCs w:val="24"/>
              </w:rPr>
              <w:t>（1）系统服务器发生故障，无法访问或无法使用系统；</w:t>
            </w:r>
          </w:p>
          <w:p>
            <w:pPr>
              <w:pageBreakBefore w:val="0"/>
              <w:kinsoku/>
              <w:wordWrap/>
              <w:overflowPunct/>
              <w:topLinePunct w:val="0"/>
              <w:autoSpaceDE/>
              <w:autoSpaceDN/>
              <w:bidi w:val="0"/>
              <w:spacing w:beforeAutospacing="0" w:line="440" w:lineRule="exact"/>
              <w:ind w:left="0" w:firstLine="0" w:firstLineChars="0"/>
              <w:jc w:val="left"/>
              <w:rPr>
                <w:rFonts w:hint="eastAsia" w:ascii="宋体" w:hAnsi="宋体" w:eastAsia="宋体" w:cs="宋体"/>
                <w:bCs/>
                <w:sz w:val="24"/>
                <w:szCs w:val="24"/>
              </w:rPr>
            </w:pPr>
            <w:r>
              <w:rPr>
                <w:rFonts w:hint="eastAsia" w:ascii="宋体" w:hAnsi="宋体" w:eastAsia="宋体" w:cs="宋体"/>
                <w:bCs/>
                <w:sz w:val="24"/>
                <w:szCs w:val="24"/>
              </w:rPr>
              <w:t>（2）系统的软件或数据库出现错误，不能进行正常操作；</w:t>
            </w:r>
          </w:p>
          <w:p>
            <w:pPr>
              <w:pageBreakBefore w:val="0"/>
              <w:kinsoku/>
              <w:wordWrap/>
              <w:overflowPunct/>
              <w:topLinePunct w:val="0"/>
              <w:autoSpaceDE/>
              <w:autoSpaceDN/>
              <w:bidi w:val="0"/>
              <w:spacing w:beforeAutospacing="0" w:line="440" w:lineRule="exact"/>
              <w:ind w:left="0" w:firstLine="0" w:firstLineChars="0"/>
              <w:jc w:val="left"/>
              <w:rPr>
                <w:rFonts w:hint="eastAsia" w:ascii="宋体" w:hAnsi="宋体" w:eastAsia="宋体" w:cs="宋体"/>
                <w:bCs/>
                <w:sz w:val="24"/>
                <w:szCs w:val="24"/>
              </w:rPr>
            </w:pPr>
            <w:r>
              <w:rPr>
                <w:rFonts w:hint="eastAsia" w:ascii="宋体" w:hAnsi="宋体" w:eastAsia="宋体" w:cs="宋体"/>
                <w:bCs/>
                <w:sz w:val="24"/>
                <w:szCs w:val="24"/>
              </w:rPr>
              <w:t>（3）系统发现有安全漏洞，有潜在的泄密危险；</w:t>
            </w:r>
          </w:p>
          <w:p>
            <w:pPr>
              <w:pageBreakBefore w:val="0"/>
              <w:kinsoku/>
              <w:wordWrap/>
              <w:overflowPunct/>
              <w:topLinePunct w:val="0"/>
              <w:autoSpaceDE/>
              <w:autoSpaceDN/>
              <w:bidi w:val="0"/>
              <w:spacing w:beforeAutospacing="0" w:line="440" w:lineRule="exact"/>
              <w:ind w:left="0" w:firstLine="0" w:firstLineChars="0"/>
              <w:jc w:val="left"/>
              <w:rPr>
                <w:rFonts w:hint="eastAsia" w:ascii="宋体" w:hAnsi="宋体" w:eastAsia="宋体" w:cs="宋体"/>
                <w:bCs/>
                <w:sz w:val="24"/>
                <w:szCs w:val="24"/>
              </w:rPr>
            </w:pPr>
            <w:r>
              <w:rPr>
                <w:rFonts w:hint="eastAsia" w:ascii="宋体" w:hAnsi="宋体" w:eastAsia="宋体" w:cs="宋体"/>
                <w:bCs/>
                <w:sz w:val="24"/>
                <w:szCs w:val="24"/>
              </w:rPr>
              <w:t>（4）病毒发作或受到外来病毒的攻击；</w:t>
            </w:r>
          </w:p>
          <w:p>
            <w:pPr>
              <w:pageBreakBefore w:val="0"/>
              <w:kinsoku/>
              <w:wordWrap/>
              <w:overflowPunct/>
              <w:topLinePunct w:val="0"/>
              <w:autoSpaceDE/>
              <w:autoSpaceDN/>
              <w:bidi w:val="0"/>
              <w:spacing w:beforeAutospacing="0" w:line="440" w:lineRule="exact"/>
              <w:ind w:left="0" w:firstLine="0" w:firstLineChars="0"/>
              <w:jc w:val="left"/>
              <w:rPr>
                <w:rFonts w:hint="eastAsia" w:ascii="宋体" w:hAnsi="宋体" w:eastAsia="宋体" w:cs="宋体"/>
                <w:bCs/>
                <w:sz w:val="24"/>
                <w:szCs w:val="24"/>
              </w:rPr>
            </w:pPr>
            <w:r>
              <w:rPr>
                <w:rFonts w:hint="eastAsia" w:ascii="宋体" w:hAnsi="宋体" w:eastAsia="宋体" w:cs="宋体"/>
                <w:bCs/>
                <w:sz w:val="24"/>
                <w:szCs w:val="24"/>
              </w:rPr>
              <w:t>（5）采购代理机构的CA锁失效等原因导致无法解密的；</w:t>
            </w:r>
          </w:p>
          <w:p>
            <w:pPr>
              <w:pageBreakBefore w:val="0"/>
              <w:kinsoku/>
              <w:wordWrap/>
              <w:overflowPunct/>
              <w:topLinePunct w:val="0"/>
              <w:autoSpaceDE/>
              <w:autoSpaceDN/>
              <w:bidi w:val="0"/>
              <w:spacing w:beforeAutospacing="0" w:line="440" w:lineRule="exact"/>
              <w:ind w:left="0" w:firstLine="0" w:firstLineChars="0"/>
              <w:jc w:val="left"/>
              <w:rPr>
                <w:rFonts w:hint="eastAsia" w:ascii="宋体" w:hAnsi="宋体" w:eastAsia="宋体" w:cs="宋体"/>
                <w:bCs/>
                <w:sz w:val="24"/>
                <w:szCs w:val="24"/>
              </w:rPr>
            </w:pPr>
            <w:r>
              <w:rPr>
                <w:rFonts w:hint="eastAsia" w:ascii="宋体" w:hAnsi="宋体" w:eastAsia="宋体" w:cs="宋体"/>
                <w:bCs/>
                <w:sz w:val="24"/>
                <w:szCs w:val="24"/>
              </w:rPr>
              <w:t>（6）其他不可抗拒的客观原因造成开评标系统无法正常使用。</w:t>
            </w:r>
          </w:p>
          <w:p>
            <w:pPr>
              <w:pageBreakBefore w:val="0"/>
              <w:kinsoku/>
              <w:wordWrap/>
              <w:overflowPunct/>
              <w:topLinePunct w:val="0"/>
              <w:autoSpaceDE/>
              <w:autoSpaceDN/>
              <w:bidi w:val="0"/>
              <w:spacing w:beforeAutospacing="0" w:line="440" w:lineRule="exact"/>
              <w:ind w:left="0" w:firstLine="0" w:firstLineChars="0"/>
              <w:rPr>
                <w:rFonts w:hint="eastAsia" w:ascii="宋体" w:hAnsi="宋体" w:eastAsia="宋体" w:cs="宋体"/>
                <w:b/>
                <w:bCs/>
                <w:kern w:val="0"/>
                <w:sz w:val="24"/>
                <w:szCs w:val="24"/>
              </w:rPr>
            </w:pPr>
            <w:r>
              <w:rPr>
                <w:rFonts w:hint="eastAsia" w:ascii="宋体" w:hAnsi="宋体" w:eastAsia="宋体" w:cs="宋体"/>
                <w:bCs/>
                <w:sz w:val="24"/>
                <w:szCs w:val="24"/>
              </w:rPr>
              <w:t>出现上述情况时，对于未开标的项目应暂停开标，对已在系统内评审的，也应立即停止。相关部门确认问题原因后，由于系统原因造成项目无法评审，可将系统内评审改为PDF版文件（U盘）评审。采取应急措施时，必须对原有资料及信息作妥善保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trPr>
        <w:tc>
          <w:tcPr>
            <w:tcW w:w="742" w:type="dxa"/>
            <w:noWrap/>
            <w:vAlign w:val="top"/>
          </w:tcPr>
          <w:p>
            <w:pPr>
              <w:pageBreakBefore w:val="0"/>
              <w:kinsoku/>
              <w:wordWrap/>
              <w:overflowPunct/>
              <w:topLinePunct w:val="0"/>
              <w:autoSpaceDE/>
              <w:autoSpaceDN/>
              <w:bidi w:val="0"/>
              <w:spacing w:beforeAutospacing="0" w:line="440" w:lineRule="exact"/>
              <w:ind w:left="0" w:leftChars="0" w:firstLine="0" w:firstLineChars="0"/>
              <w:jc w:val="left"/>
              <w:rPr>
                <w:rFonts w:hint="eastAsia" w:ascii="宋体" w:hAnsi="宋体" w:eastAsia="宋体" w:cs="宋体"/>
                <w:b/>
                <w:bCs/>
                <w:sz w:val="24"/>
                <w:szCs w:val="24"/>
              </w:rPr>
            </w:pPr>
            <w:r>
              <w:rPr>
                <w:rFonts w:hint="eastAsia" w:ascii="宋体" w:hAnsi="宋体" w:eastAsia="宋体" w:cs="宋体"/>
                <w:b w:val="0"/>
                <w:bCs w:val="0"/>
                <w:sz w:val="24"/>
                <w:szCs w:val="24"/>
              </w:rPr>
              <w:t>同一品牌产品相关问题</w:t>
            </w:r>
          </w:p>
        </w:tc>
        <w:tc>
          <w:tcPr>
            <w:tcW w:w="9017" w:type="dxa"/>
            <w:gridSpan w:val="2"/>
            <w:noWrap/>
            <w:vAlign w:val="top"/>
          </w:tcPr>
          <w:p>
            <w:pPr>
              <w:pageBreakBefore w:val="0"/>
              <w:kinsoku/>
              <w:wordWrap/>
              <w:overflowPunct/>
              <w:topLinePunct w:val="0"/>
              <w:autoSpaceDE/>
              <w:autoSpaceDN/>
              <w:bidi w:val="0"/>
              <w:spacing w:beforeAutospacing="0" w:line="440" w:lineRule="exact"/>
              <w:ind w:left="0" w:leftChars="0" w:firstLine="0" w:firstLineChars="0"/>
              <w:jc w:val="left"/>
              <w:rPr>
                <w:rFonts w:hint="eastAsia" w:ascii="宋体" w:hAnsi="宋体" w:eastAsia="宋体" w:cs="宋体"/>
                <w:bCs/>
                <w:sz w:val="24"/>
                <w:szCs w:val="24"/>
              </w:rPr>
            </w:pPr>
            <w:r>
              <w:rPr>
                <w:rFonts w:hint="eastAsia" w:ascii="宋体" w:hAnsi="宋体" w:eastAsia="宋体" w:cs="宋体"/>
                <w:b w:val="0"/>
                <w:bCs w:val="0"/>
                <w:sz w:val="24"/>
                <w:szCs w:val="24"/>
                <w:lang w:val="zh-CN"/>
              </w:rPr>
              <w:t>使用综合评分法的采购项目，提供相同品牌产品且通过资格审查、符合性审查的不同</w:t>
            </w:r>
            <w:r>
              <w:rPr>
                <w:rFonts w:hint="eastAsia" w:ascii="宋体" w:hAnsi="宋体" w:eastAsia="宋体" w:cs="宋体"/>
                <w:b w:val="0"/>
                <w:bCs w:val="0"/>
                <w:sz w:val="24"/>
                <w:szCs w:val="24"/>
                <w:lang w:val="en-US" w:eastAsia="zh-CN"/>
              </w:rPr>
              <w:t>供应商</w:t>
            </w:r>
            <w:r>
              <w:rPr>
                <w:rFonts w:hint="eastAsia" w:ascii="宋体" w:hAnsi="宋体" w:eastAsia="宋体" w:cs="宋体"/>
                <w:b w:val="0"/>
                <w:bCs w:val="0"/>
                <w:sz w:val="24"/>
                <w:szCs w:val="24"/>
                <w:lang w:val="zh-CN"/>
              </w:rPr>
              <w:t>参加同一合同项下投标的，按一家</w:t>
            </w:r>
            <w:r>
              <w:rPr>
                <w:rFonts w:hint="eastAsia" w:ascii="宋体" w:hAnsi="宋体" w:eastAsia="宋体" w:cs="宋体"/>
                <w:b w:val="0"/>
                <w:bCs w:val="0"/>
                <w:sz w:val="24"/>
                <w:szCs w:val="24"/>
                <w:lang w:val="en-US" w:eastAsia="zh-CN"/>
              </w:rPr>
              <w:t>供应商</w:t>
            </w:r>
            <w:r>
              <w:rPr>
                <w:rFonts w:hint="eastAsia" w:ascii="宋体" w:hAnsi="宋体" w:eastAsia="宋体" w:cs="宋体"/>
                <w:b w:val="0"/>
                <w:bCs w:val="0"/>
                <w:sz w:val="24"/>
                <w:szCs w:val="24"/>
                <w:lang w:val="zh-CN"/>
              </w:rPr>
              <w:t>计算，评审后得分最高的同品牌</w:t>
            </w:r>
            <w:r>
              <w:rPr>
                <w:rFonts w:hint="eastAsia" w:ascii="宋体" w:hAnsi="宋体" w:eastAsia="宋体" w:cs="宋体"/>
                <w:b w:val="0"/>
                <w:bCs w:val="0"/>
                <w:sz w:val="24"/>
                <w:szCs w:val="24"/>
                <w:lang w:val="en-US" w:eastAsia="zh-CN"/>
              </w:rPr>
              <w:t>供应商</w:t>
            </w:r>
            <w:r>
              <w:rPr>
                <w:rFonts w:hint="eastAsia" w:ascii="宋体" w:hAnsi="宋体" w:eastAsia="宋体" w:cs="宋体"/>
                <w:b w:val="0"/>
                <w:bCs w:val="0"/>
                <w:sz w:val="24"/>
                <w:szCs w:val="24"/>
                <w:lang w:val="zh-CN"/>
              </w:rPr>
              <w:t>获得中标人推荐资格；评审得分相同的由</w:t>
            </w:r>
            <w:r>
              <w:rPr>
                <w:rFonts w:hint="eastAsia" w:ascii="宋体" w:hAnsi="宋体" w:eastAsia="宋体" w:cs="宋体"/>
                <w:b w:val="0"/>
                <w:bCs w:val="0"/>
                <w:sz w:val="24"/>
                <w:szCs w:val="24"/>
                <w:lang w:val="en-US" w:eastAsia="zh-CN"/>
              </w:rPr>
              <w:t>采购</w:t>
            </w:r>
            <w:r>
              <w:rPr>
                <w:rFonts w:hint="eastAsia" w:ascii="宋体" w:hAnsi="宋体" w:eastAsia="宋体" w:cs="宋体"/>
                <w:b w:val="0"/>
                <w:bCs w:val="0"/>
                <w:sz w:val="24"/>
                <w:szCs w:val="24"/>
                <w:lang w:val="zh-CN"/>
              </w:rPr>
              <w:t>人或者</w:t>
            </w:r>
            <w:r>
              <w:rPr>
                <w:rFonts w:hint="eastAsia" w:ascii="宋体" w:hAnsi="宋体" w:eastAsia="宋体" w:cs="宋体"/>
                <w:b w:val="0"/>
                <w:bCs w:val="0"/>
                <w:sz w:val="24"/>
                <w:szCs w:val="24"/>
                <w:lang w:val="en-US" w:eastAsia="zh-CN"/>
              </w:rPr>
              <w:t>采购</w:t>
            </w:r>
            <w:r>
              <w:rPr>
                <w:rFonts w:hint="eastAsia" w:ascii="宋体" w:hAnsi="宋体" w:eastAsia="宋体" w:cs="宋体"/>
                <w:b w:val="0"/>
                <w:bCs w:val="0"/>
                <w:sz w:val="24"/>
                <w:szCs w:val="24"/>
                <w:lang w:val="zh-CN"/>
              </w:rPr>
              <w:t>人委托评标委员会按照磋商文件规定的方式确定一个</w:t>
            </w:r>
            <w:r>
              <w:rPr>
                <w:rFonts w:hint="eastAsia" w:ascii="宋体" w:hAnsi="宋体" w:eastAsia="宋体" w:cs="宋体"/>
                <w:b w:val="0"/>
                <w:bCs w:val="0"/>
                <w:sz w:val="24"/>
                <w:szCs w:val="24"/>
                <w:lang w:val="en-US" w:eastAsia="zh-CN"/>
              </w:rPr>
              <w:t>供应商</w:t>
            </w:r>
            <w:r>
              <w:rPr>
                <w:rFonts w:hint="eastAsia" w:ascii="宋体" w:hAnsi="宋体" w:eastAsia="宋体" w:cs="宋体"/>
                <w:b w:val="0"/>
                <w:bCs w:val="0"/>
                <w:sz w:val="24"/>
                <w:szCs w:val="24"/>
                <w:lang w:val="zh-CN"/>
              </w:rPr>
              <w:t>获得中标人推荐资格，磋商文件未规定的采取随机抽取方式确定，其他同品牌</w:t>
            </w:r>
            <w:r>
              <w:rPr>
                <w:rFonts w:hint="eastAsia" w:ascii="宋体" w:hAnsi="宋体" w:eastAsia="宋体" w:cs="宋体"/>
                <w:b w:val="0"/>
                <w:bCs w:val="0"/>
                <w:sz w:val="24"/>
                <w:szCs w:val="24"/>
                <w:lang w:val="en-US" w:eastAsia="zh-CN"/>
              </w:rPr>
              <w:t>供应商</w:t>
            </w:r>
            <w:r>
              <w:rPr>
                <w:rFonts w:hint="eastAsia" w:ascii="宋体" w:hAnsi="宋体" w:eastAsia="宋体" w:cs="宋体"/>
                <w:b w:val="0"/>
                <w:bCs w:val="0"/>
                <w:sz w:val="24"/>
                <w:szCs w:val="24"/>
                <w:lang w:val="zh-CN"/>
              </w:rPr>
              <w:t>不作为中标候选人。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742" w:type="dxa"/>
            <w:noWrap/>
            <w:vAlign w:val="center"/>
          </w:tcPr>
          <w:p>
            <w:pPr>
              <w:spacing w:before="290" w:line="204" w:lineRule="auto"/>
              <w:ind w:left="0" w:leftChars="0" w:firstLine="0" w:firstLineChars="0"/>
              <w:jc w:val="left"/>
              <w:rPr>
                <w:rFonts w:hint="eastAsia" w:ascii="宋体" w:hAnsi="宋体" w:eastAsia="宋体" w:cs="宋体"/>
                <w:b/>
                <w:bCs/>
                <w:sz w:val="24"/>
                <w:szCs w:val="24"/>
              </w:rPr>
            </w:pPr>
            <w:r>
              <w:rPr>
                <w:rFonts w:hint="eastAsia" w:ascii="宋体" w:hAnsi="宋体" w:cs="宋体"/>
                <w:sz w:val="24"/>
                <w:szCs w:val="24"/>
              </w:rPr>
              <w:t>其他说明</w:t>
            </w:r>
          </w:p>
        </w:tc>
        <w:tc>
          <w:tcPr>
            <w:tcW w:w="9017" w:type="dxa"/>
            <w:gridSpan w:val="2"/>
            <w:noWrap/>
            <w:vAlign w:val="top"/>
          </w:tcPr>
          <w:p>
            <w:pPr>
              <w:spacing w:line="360" w:lineRule="auto"/>
              <w:ind w:left="0" w:leftChars="0" w:firstLine="0" w:firstLineChars="0"/>
              <w:jc w:val="left"/>
              <w:rPr>
                <w:rFonts w:hint="eastAsia" w:ascii="宋体" w:hAnsi="宋体" w:eastAsia="宋体" w:cs="宋体"/>
                <w:bCs/>
                <w:sz w:val="24"/>
                <w:szCs w:val="24"/>
              </w:rPr>
            </w:pPr>
            <w:r>
              <w:rPr>
                <w:rFonts w:hint="eastAsia" w:ascii="宋体" w:hAnsi="宋体" w:cs="宋体"/>
                <w:sz w:val="24"/>
                <w:szCs w:val="24"/>
                <w:lang w:val="en-US" w:eastAsia="zh-CN"/>
              </w:rPr>
              <w:t>供应商</w:t>
            </w:r>
            <w:r>
              <w:rPr>
                <w:rFonts w:hint="eastAsia" w:ascii="宋体" w:hAnsi="宋体" w:cs="宋体"/>
                <w:sz w:val="24"/>
                <w:szCs w:val="24"/>
                <w:lang w:val="zh-CN"/>
              </w:rPr>
              <w:t>须保证</w:t>
            </w:r>
            <w:r>
              <w:rPr>
                <w:rFonts w:hint="eastAsia" w:ascii="宋体" w:hAnsi="宋体" w:cs="宋体"/>
                <w:sz w:val="24"/>
                <w:szCs w:val="24"/>
                <w:lang w:val="en-US" w:eastAsia="zh-CN"/>
              </w:rPr>
              <w:t>采购</w:t>
            </w:r>
            <w:r>
              <w:rPr>
                <w:rFonts w:hint="eastAsia" w:ascii="宋体" w:hAnsi="宋体" w:cs="宋体"/>
                <w:sz w:val="24"/>
                <w:szCs w:val="24"/>
                <w:lang w:val="zh-CN"/>
              </w:rPr>
              <w:t>人在使用该服务成果或其任何一部分时不受到第三方关于侵犯专利权、商标权或工业设计权等知识产权的指控。如果任何第三方提出侵权指控与</w:t>
            </w:r>
            <w:r>
              <w:rPr>
                <w:rFonts w:hint="eastAsia" w:ascii="宋体" w:hAnsi="宋体" w:cs="宋体"/>
                <w:sz w:val="24"/>
                <w:szCs w:val="24"/>
                <w:lang w:val="en-US" w:eastAsia="zh-CN"/>
              </w:rPr>
              <w:t>采购</w:t>
            </w:r>
            <w:r>
              <w:rPr>
                <w:rFonts w:hint="eastAsia" w:ascii="宋体" w:hAnsi="宋体" w:cs="宋体"/>
                <w:sz w:val="24"/>
                <w:szCs w:val="24"/>
                <w:lang w:val="zh-CN"/>
              </w:rPr>
              <w:t>人无关，</w:t>
            </w:r>
            <w:r>
              <w:rPr>
                <w:rFonts w:hint="eastAsia" w:ascii="宋体" w:hAnsi="宋体" w:cs="宋体"/>
                <w:sz w:val="24"/>
                <w:szCs w:val="24"/>
                <w:lang w:val="en-US" w:eastAsia="zh-CN"/>
              </w:rPr>
              <w:t>供应商</w:t>
            </w:r>
            <w:r>
              <w:rPr>
                <w:rFonts w:hint="eastAsia" w:ascii="宋体" w:hAnsi="宋体" w:cs="宋体"/>
                <w:sz w:val="24"/>
                <w:szCs w:val="24"/>
                <w:lang w:val="zh-CN"/>
              </w:rPr>
              <w:t>须与第三方交涉并承担可能发生的责任与一切费用。如</w:t>
            </w:r>
            <w:r>
              <w:rPr>
                <w:rFonts w:hint="eastAsia" w:ascii="宋体" w:hAnsi="宋体" w:cs="宋体"/>
                <w:sz w:val="24"/>
                <w:szCs w:val="24"/>
                <w:lang w:val="en-US" w:eastAsia="zh-CN"/>
              </w:rPr>
              <w:t>采购</w:t>
            </w:r>
            <w:r>
              <w:rPr>
                <w:rFonts w:hint="eastAsia" w:ascii="宋体" w:hAnsi="宋体" w:cs="宋体"/>
                <w:sz w:val="24"/>
                <w:szCs w:val="24"/>
                <w:lang w:val="zh-CN"/>
              </w:rPr>
              <w:t>因此而遭致损失的，</w:t>
            </w:r>
            <w:r>
              <w:rPr>
                <w:rFonts w:hint="eastAsia" w:ascii="宋体" w:hAnsi="宋体" w:cs="宋体"/>
                <w:sz w:val="24"/>
                <w:szCs w:val="24"/>
                <w:lang w:val="en-US" w:eastAsia="zh-CN"/>
              </w:rPr>
              <w:t>供应商</w:t>
            </w:r>
            <w:r>
              <w:rPr>
                <w:rFonts w:hint="eastAsia" w:ascii="宋体" w:hAnsi="宋体" w:cs="宋体"/>
                <w:sz w:val="24"/>
                <w:szCs w:val="24"/>
                <w:lang w:val="zh-CN"/>
              </w:rPr>
              <w:t xml:space="preserve">应赔偿该损失。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742" w:type="dxa"/>
            <w:noWrap/>
            <w:vAlign w:val="center"/>
          </w:tcPr>
          <w:p>
            <w:pPr>
              <w:spacing w:line="360" w:lineRule="auto"/>
              <w:ind w:left="0" w:leftChars="0" w:firstLine="0" w:firstLineChars="0"/>
              <w:jc w:val="left"/>
              <w:rPr>
                <w:rFonts w:hint="eastAsia" w:ascii="宋体" w:hAnsi="宋体" w:eastAsia="宋体" w:cs="宋体"/>
                <w:b/>
                <w:bCs/>
                <w:sz w:val="24"/>
                <w:szCs w:val="24"/>
              </w:rPr>
            </w:pPr>
            <w:r>
              <w:rPr>
                <w:rFonts w:hint="eastAsia" w:ascii="宋体" w:hAnsi="宋体" w:cs="宋体"/>
                <w:b/>
                <w:bCs/>
                <w:sz w:val="24"/>
                <w:szCs w:val="24"/>
              </w:rPr>
              <w:t>信用评价板块</w:t>
            </w:r>
          </w:p>
        </w:tc>
        <w:tc>
          <w:tcPr>
            <w:tcW w:w="9017" w:type="dxa"/>
            <w:gridSpan w:val="2"/>
            <w:noWrap/>
            <w:vAlign w:val="top"/>
          </w:tcPr>
          <w:p>
            <w:pPr>
              <w:spacing w:line="360" w:lineRule="auto"/>
              <w:ind w:left="0" w:leftChars="0" w:firstLine="0" w:firstLineChars="0"/>
              <w:jc w:val="left"/>
              <w:rPr>
                <w:rFonts w:hint="eastAsia" w:ascii="宋体" w:hAnsi="宋体" w:cs="宋体"/>
                <w:b/>
                <w:bCs/>
                <w:spacing w:val="-7"/>
                <w:sz w:val="24"/>
                <w:szCs w:val="24"/>
              </w:rPr>
            </w:pPr>
            <w:r>
              <w:rPr>
                <w:rFonts w:hint="eastAsia" w:ascii="宋体" w:hAnsi="宋体" w:cs="宋体"/>
                <w:b/>
                <w:bCs/>
                <w:spacing w:val="-7"/>
                <w:sz w:val="24"/>
                <w:szCs w:val="24"/>
              </w:rPr>
              <w:t xml:space="preserve">“供应商须在项目开标前，进入菏泽市政府采购公共服务平台（http://ggzypz.heze.gov.cn/），在服务平台点击【菏泽市政采信用管理系统】进入信用系统完成账号注册（已有账号的无需重复注册），登录系统截取当前的信用星级和分数，作为供应商信用情况的参考。在项目评标结束后，供应商需登录菏泽政采信用管理系统，对本次项目的各阶段参与主体完成信用评价并于系统内提交评价结果”。信用系统具体操作步骤详见【菏泽市政采信用管理系统】用户操作手册（http://47.104.12.130:10000/user/login）。 </w:t>
            </w:r>
          </w:p>
          <w:p>
            <w:pPr>
              <w:spacing w:line="360" w:lineRule="auto"/>
              <w:ind w:left="0" w:leftChars="0" w:firstLine="0" w:firstLineChars="0"/>
              <w:jc w:val="left"/>
              <w:rPr>
                <w:rFonts w:hint="eastAsia" w:ascii="宋体" w:hAnsi="宋体" w:eastAsia="宋体" w:cs="宋体"/>
                <w:bCs/>
                <w:sz w:val="24"/>
                <w:szCs w:val="24"/>
              </w:rPr>
            </w:pPr>
            <w:r>
              <w:rPr>
                <w:rFonts w:ascii="宋体" w:hAnsi="宋体" w:cs="宋体"/>
                <w:b/>
                <w:bCs/>
                <w:sz w:val="24"/>
                <w:szCs w:val="24"/>
              </w:rPr>
              <w:t>重要提示：此项要求不作为供应商参与评审的资格项和评分项，不以此项做废标处理。</w:t>
            </w:r>
            <w:r>
              <w:rPr>
                <w:rFonts w:hint="eastAsia" w:ascii="宋体" w:hAnsi="宋体" w:cs="宋体"/>
                <w:b/>
                <w:bCs/>
                <w:spacing w:val="-7"/>
                <w:sz w:val="24"/>
                <w:szCs w:val="24"/>
              </w:rPr>
              <w:t xml:space="preserve">                  </w:t>
            </w:r>
          </w:p>
        </w:tc>
      </w:tr>
    </w:tbl>
    <w:p>
      <w:pPr>
        <w:pStyle w:val="4"/>
        <w:bidi w:val="0"/>
        <w:ind w:left="0" w:leftChars="0" w:firstLine="0" w:firstLineChars="0"/>
        <w:rPr>
          <w:rFonts w:hint="eastAsia" w:ascii="宋体" w:hAnsi="宋体" w:eastAsia="宋体" w:cs="宋体"/>
          <w:sz w:val="24"/>
        </w:rPr>
      </w:pPr>
      <w:r>
        <w:rPr>
          <w:rFonts w:hint="eastAsia" w:ascii="宋体" w:hAnsi="宋体" w:eastAsia="宋体" w:cs="宋体"/>
          <w:szCs w:val="21"/>
        </w:rPr>
        <w:br w:type="page"/>
      </w:r>
      <w:bookmarkStart w:id="13" w:name="_Toc414539103"/>
      <w:r>
        <w:rPr>
          <w:rFonts w:hint="eastAsia" w:ascii="宋体" w:hAnsi="宋体" w:eastAsia="宋体" w:cs="宋体"/>
          <w:b/>
          <w:bCs/>
          <w:sz w:val="24"/>
        </w:rPr>
        <w:t>1.总则</w:t>
      </w:r>
      <w:bookmarkEnd w:id="13"/>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1.1根据《中华人民共和国政府采购法》、《政府采购竞争性磋商采购方式管理暂行办法》等有关法律、法规和规章的规定，本项目已具备采购条件，现采用竞争性磋商的方式对本项目进行采购。</w:t>
      </w:r>
    </w:p>
    <w:p>
      <w:pPr>
        <w:spacing w:line="500" w:lineRule="exact"/>
        <w:ind w:left="0" w:leftChars="0" w:firstLine="0" w:firstLineChars="0"/>
        <w:rPr>
          <w:rFonts w:hint="eastAsia" w:ascii="宋体" w:hAnsi="宋体" w:eastAsia="宋体" w:cs="宋体"/>
          <w:b/>
          <w:bCs/>
        </w:rPr>
      </w:pPr>
      <w:r>
        <w:rPr>
          <w:rFonts w:hint="eastAsia" w:ascii="宋体" w:hAnsi="宋体" w:eastAsia="宋体" w:cs="宋体"/>
          <w:b/>
          <w:bCs/>
          <w:sz w:val="24"/>
        </w:rPr>
        <w:t>1.1 项目概况</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1.1.</w:t>
      </w:r>
      <w:r>
        <w:rPr>
          <w:rFonts w:hint="eastAsia" w:ascii="宋体" w:hAnsi="宋体" w:eastAsia="宋体" w:cs="宋体"/>
          <w:sz w:val="24"/>
          <w:lang w:val="en-US" w:eastAsia="zh-CN"/>
        </w:rPr>
        <w:t>1</w:t>
      </w:r>
      <w:r>
        <w:rPr>
          <w:rFonts w:hint="eastAsia" w:ascii="宋体" w:hAnsi="宋体" w:eastAsia="宋体" w:cs="宋体"/>
          <w:sz w:val="24"/>
        </w:rPr>
        <w:t xml:space="preserve"> 本项目采购人：见供应商须知前附表。</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1.1.</w:t>
      </w:r>
      <w:r>
        <w:rPr>
          <w:rFonts w:hint="eastAsia" w:ascii="宋体" w:hAnsi="宋体" w:eastAsia="宋体" w:cs="宋体"/>
          <w:sz w:val="24"/>
          <w:lang w:val="en-US" w:eastAsia="zh-CN"/>
        </w:rPr>
        <w:t>2</w:t>
      </w:r>
      <w:r>
        <w:rPr>
          <w:rFonts w:hint="eastAsia" w:ascii="宋体" w:hAnsi="宋体" w:eastAsia="宋体" w:cs="宋体"/>
          <w:sz w:val="24"/>
        </w:rPr>
        <w:t xml:space="preserve"> 本项目采购代理机构：见供应商须知前附表。</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1.1.</w:t>
      </w:r>
      <w:r>
        <w:rPr>
          <w:rFonts w:hint="eastAsia" w:ascii="宋体" w:hAnsi="宋体" w:eastAsia="宋体" w:cs="宋体"/>
          <w:sz w:val="24"/>
          <w:lang w:val="en-US" w:eastAsia="zh-CN"/>
        </w:rPr>
        <w:t>3</w:t>
      </w:r>
      <w:r>
        <w:rPr>
          <w:rFonts w:hint="eastAsia" w:ascii="宋体" w:hAnsi="宋体" w:eastAsia="宋体" w:cs="宋体"/>
          <w:sz w:val="24"/>
        </w:rPr>
        <w:t xml:space="preserve"> 本项目名称：见供应商须知前附表。</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1.1.</w:t>
      </w:r>
      <w:r>
        <w:rPr>
          <w:rFonts w:hint="eastAsia" w:ascii="宋体" w:hAnsi="宋体" w:eastAsia="宋体" w:cs="宋体"/>
          <w:sz w:val="24"/>
          <w:lang w:val="en-US" w:eastAsia="zh-CN"/>
        </w:rPr>
        <w:t>4</w:t>
      </w:r>
      <w:r>
        <w:rPr>
          <w:rFonts w:hint="eastAsia" w:ascii="宋体" w:hAnsi="宋体" w:eastAsia="宋体" w:cs="宋体"/>
          <w:sz w:val="24"/>
        </w:rPr>
        <w:t xml:space="preserve"> 本项目服务地点：见供应商须知前附表。</w:t>
      </w:r>
    </w:p>
    <w:p>
      <w:pPr>
        <w:spacing w:line="500" w:lineRule="exact"/>
        <w:ind w:left="0" w:leftChars="0" w:firstLine="0" w:firstLineChars="0"/>
        <w:rPr>
          <w:rFonts w:hint="eastAsia" w:ascii="宋体" w:hAnsi="宋体" w:eastAsia="宋体" w:cs="宋体"/>
          <w:b/>
          <w:bCs/>
          <w:sz w:val="24"/>
        </w:rPr>
      </w:pPr>
      <w:r>
        <w:rPr>
          <w:rFonts w:hint="eastAsia" w:ascii="宋体" w:hAnsi="宋体" w:eastAsia="宋体" w:cs="宋体"/>
          <w:b/>
          <w:bCs/>
          <w:sz w:val="24"/>
        </w:rPr>
        <w:t>1.2 资金来源</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1.2.1 本项目的资金来源：见供应商须知前附表。</w:t>
      </w:r>
    </w:p>
    <w:p>
      <w:pPr>
        <w:spacing w:line="500" w:lineRule="exact"/>
        <w:ind w:left="0" w:leftChars="0" w:firstLine="0" w:firstLineChars="0"/>
        <w:rPr>
          <w:rFonts w:hint="eastAsia" w:ascii="宋体" w:hAnsi="宋体" w:eastAsia="宋体" w:cs="宋体"/>
          <w:b/>
          <w:bCs/>
          <w:sz w:val="24"/>
        </w:rPr>
      </w:pPr>
      <w:r>
        <w:rPr>
          <w:rFonts w:hint="eastAsia" w:ascii="宋体" w:hAnsi="宋体" w:eastAsia="宋体" w:cs="宋体"/>
          <w:b/>
          <w:bCs/>
          <w:sz w:val="24"/>
        </w:rPr>
        <w:t>1.3 服务内容、期限和</w:t>
      </w:r>
      <w:r>
        <w:rPr>
          <w:rFonts w:hint="eastAsia" w:cs="宋体"/>
          <w:b/>
          <w:bCs/>
          <w:sz w:val="24"/>
          <w:lang w:val="en-US" w:eastAsia="zh-CN"/>
        </w:rPr>
        <w:t>服务</w:t>
      </w:r>
      <w:r>
        <w:rPr>
          <w:rFonts w:hint="eastAsia" w:ascii="宋体" w:hAnsi="宋体" w:eastAsia="宋体" w:cs="宋体"/>
          <w:b/>
          <w:bCs/>
          <w:sz w:val="24"/>
        </w:rPr>
        <w:t>要求</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1.3.1 本项目服务内容：见供应商须知前附表。</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1.3.2 本项目期限：见供应商须知前附表。</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1.3.3 本项目</w:t>
      </w:r>
      <w:r>
        <w:rPr>
          <w:rFonts w:hint="eastAsia" w:ascii="宋体" w:hAnsi="宋体" w:eastAsia="宋体" w:cs="宋体"/>
          <w:sz w:val="24"/>
          <w:lang w:val="en-US" w:eastAsia="zh-CN"/>
        </w:rPr>
        <w:t>服务</w:t>
      </w:r>
      <w:r>
        <w:rPr>
          <w:rFonts w:hint="eastAsia" w:ascii="宋体" w:hAnsi="宋体" w:eastAsia="宋体" w:cs="宋体"/>
          <w:sz w:val="24"/>
        </w:rPr>
        <w:t>要求：见供应商须知前附表。</w:t>
      </w:r>
    </w:p>
    <w:p>
      <w:pPr>
        <w:spacing w:line="500" w:lineRule="exact"/>
        <w:ind w:left="0" w:leftChars="0" w:firstLine="0" w:firstLineChars="0"/>
        <w:rPr>
          <w:rFonts w:hint="eastAsia" w:ascii="宋体" w:hAnsi="宋体" w:eastAsia="宋体" w:cs="宋体"/>
          <w:b/>
          <w:bCs/>
          <w:sz w:val="24"/>
        </w:rPr>
      </w:pPr>
      <w:r>
        <w:rPr>
          <w:rFonts w:hint="eastAsia" w:ascii="宋体" w:hAnsi="宋体" w:eastAsia="宋体" w:cs="宋体"/>
          <w:b/>
          <w:bCs/>
          <w:sz w:val="24"/>
        </w:rPr>
        <w:t>1.4 供应商资格要求：</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1.4.1资格要求：见供应商须知前附表。</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1.4.2 供应商不得存在下列情形之一：</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（1）为采购人不具有独立法人资格的附属机构（单位）；</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（2）为本项目的采购人；</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（3）为本项目的代建人；</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（4）为本项目提供采购代理服务的；</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（5）与本项目的采购人或代建人或采购代理机构同为一个供应商法定代表人的；</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（6）与本项目的采购人或代建人或采购代理机构相互控股或参股的；</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（7）与本项目的采购人或代建人或采购代理机构相互任职或工作的；</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（8）被责令停业的；</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（9）被暂停或取消资格的；</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（10）财产被接管或冻结的；</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（11）参加采购活动前三年内，在经营活动中有重大违法记录、严重违约或重大项目质量问题的。</w:t>
      </w:r>
    </w:p>
    <w:p>
      <w:pPr>
        <w:spacing w:line="500" w:lineRule="exact"/>
        <w:ind w:left="0" w:leftChars="0" w:firstLine="0" w:firstLineChars="0"/>
        <w:rPr>
          <w:rFonts w:hint="eastAsia" w:ascii="宋体" w:hAnsi="宋体" w:eastAsia="宋体" w:cs="宋体"/>
          <w:b/>
          <w:bCs/>
          <w:sz w:val="24"/>
        </w:rPr>
      </w:pPr>
      <w:r>
        <w:rPr>
          <w:rFonts w:hint="eastAsia" w:ascii="宋体" w:hAnsi="宋体" w:eastAsia="宋体" w:cs="宋体"/>
          <w:b/>
          <w:bCs/>
          <w:sz w:val="24"/>
        </w:rPr>
        <w:t>1.5 费用承担</w:t>
      </w:r>
    </w:p>
    <w:p>
      <w:pPr>
        <w:spacing w:line="480" w:lineRule="exact"/>
        <w:ind w:firstLine="480" w:firstLineChars="200"/>
        <w:rPr>
          <w:rFonts w:hint="eastAsia" w:ascii="宋体" w:hAnsi="宋体" w:eastAsia="宋体" w:cs="宋体"/>
          <w:sz w:val="24"/>
          <w:szCs w:val="24"/>
          <w:highlight w:val="none"/>
        </w:rPr>
      </w:pPr>
      <w:bookmarkStart w:id="14" w:name="_Toc414539104"/>
      <w:r>
        <w:rPr>
          <w:rFonts w:hint="eastAsia" w:ascii="宋体" w:hAnsi="宋体" w:eastAsia="宋体" w:cs="宋体"/>
          <w:sz w:val="24"/>
          <w:szCs w:val="24"/>
          <w:highlight w:val="none"/>
        </w:rPr>
        <w:t>1.5.1</w:t>
      </w:r>
      <w:r>
        <w:rPr>
          <w:rFonts w:hint="eastAsia" w:ascii="宋体" w:hAnsi="宋体" w:eastAsia="宋体" w:cs="宋体"/>
          <w:sz w:val="24"/>
          <w:szCs w:val="24"/>
          <w:highlight w:val="none"/>
          <w:lang w:eastAsia="zh-CN"/>
        </w:rPr>
        <w:t>代理费：</w:t>
      </w:r>
      <w:r>
        <w:rPr>
          <w:rFonts w:hint="eastAsia" w:ascii="宋体" w:hAnsi="宋体" w:eastAsia="宋体" w:cs="宋体"/>
          <w:sz w:val="24"/>
          <w:szCs w:val="24"/>
          <w:highlight w:val="none"/>
          <w:lang w:val="en-US" w:eastAsia="zh-CN"/>
        </w:rPr>
        <w:t>详见供应商须知前附表</w:t>
      </w:r>
      <w:r>
        <w:rPr>
          <w:rFonts w:hint="eastAsia" w:cs="宋体"/>
          <w:sz w:val="24"/>
          <w:szCs w:val="24"/>
          <w:highlight w:val="none"/>
          <w:lang w:val="en-US" w:eastAsia="zh-CN"/>
        </w:rPr>
        <w:t>。</w:t>
      </w:r>
    </w:p>
    <w:p>
      <w:pPr>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1.5.2</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应承担其编制</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与递交</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所涉及的一切费用。不论投标结果如何，招标人和招标代理机构在任何情况下无义务也无责任承担这些费用。</w:t>
      </w:r>
    </w:p>
    <w:p>
      <w:pPr>
        <w:spacing w:line="500" w:lineRule="exact"/>
        <w:ind w:left="0" w:leftChars="0" w:firstLine="0" w:firstLineChars="0"/>
        <w:rPr>
          <w:rFonts w:hint="eastAsia" w:ascii="宋体" w:hAnsi="宋体" w:eastAsia="宋体" w:cs="宋体"/>
          <w:b/>
          <w:bCs/>
          <w:sz w:val="24"/>
        </w:rPr>
      </w:pPr>
      <w:r>
        <w:rPr>
          <w:rFonts w:hint="eastAsia" w:ascii="宋体" w:hAnsi="宋体" w:eastAsia="宋体" w:cs="宋体"/>
          <w:b/>
          <w:bCs/>
          <w:sz w:val="24"/>
        </w:rPr>
        <w:t>1.6 保密</w:t>
      </w:r>
    </w:p>
    <w:p>
      <w:pPr>
        <w:spacing w:line="500" w:lineRule="exact"/>
        <w:ind w:left="2" w:leftChars="1" w:firstLine="480" w:firstLineChars="200"/>
        <w:rPr>
          <w:rFonts w:hint="eastAsia" w:ascii="宋体" w:hAnsi="宋体" w:eastAsia="宋体" w:cs="宋体"/>
          <w:sz w:val="24"/>
        </w:rPr>
      </w:pPr>
      <w:r>
        <w:rPr>
          <w:rFonts w:hint="eastAsia" w:ascii="宋体" w:hAnsi="宋体" w:eastAsia="宋体" w:cs="宋体"/>
          <w:sz w:val="24"/>
        </w:rPr>
        <w:t>参与竞争性磋商活动的各方应对竞争性磋商文件和响应文件中的商业和技术等秘密保密，违者应对由此造成的后果承担法律责任。</w:t>
      </w:r>
    </w:p>
    <w:p>
      <w:pPr>
        <w:spacing w:line="500" w:lineRule="exact"/>
        <w:ind w:left="0" w:leftChars="0" w:firstLine="0" w:firstLineChars="0"/>
        <w:rPr>
          <w:rFonts w:hint="eastAsia" w:ascii="宋体" w:hAnsi="宋体" w:eastAsia="宋体" w:cs="宋体"/>
          <w:b/>
          <w:bCs/>
          <w:sz w:val="24"/>
        </w:rPr>
      </w:pPr>
      <w:r>
        <w:rPr>
          <w:rFonts w:hint="eastAsia" w:ascii="宋体" w:hAnsi="宋体" w:eastAsia="宋体" w:cs="宋体"/>
          <w:b/>
          <w:bCs/>
          <w:sz w:val="24"/>
        </w:rPr>
        <w:t>1.7 语言文字</w:t>
      </w:r>
    </w:p>
    <w:p>
      <w:pPr>
        <w:spacing w:line="500" w:lineRule="exact"/>
        <w:ind w:left="2" w:leftChars="1" w:firstLine="480" w:firstLineChars="200"/>
        <w:rPr>
          <w:rFonts w:hint="eastAsia" w:ascii="宋体" w:hAnsi="宋体" w:eastAsia="宋体" w:cs="宋体"/>
          <w:sz w:val="24"/>
        </w:rPr>
      </w:pPr>
      <w:r>
        <w:rPr>
          <w:rFonts w:hint="eastAsia" w:ascii="宋体" w:hAnsi="宋体" w:eastAsia="宋体" w:cs="宋体"/>
          <w:sz w:val="24"/>
        </w:rPr>
        <w:t>除专用术语外，与本次竞争性磋商报价有关的语言均使用中文。必要时专用术语应附有中文注释。</w:t>
      </w:r>
    </w:p>
    <w:p>
      <w:pPr>
        <w:spacing w:line="500" w:lineRule="exact"/>
        <w:ind w:left="0" w:leftChars="0" w:firstLine="0" w:firstLineChars="0"/>
        <w:rPr>
          <w:rFonts w:hint="eastAsia" w:ascii="宋体" w:hAnsi="宋体" w:eastAsia="宋体" w:cs="宋体"/>
          <w:b/>
          <w:bCs/>
          <w:sz w:val="24"/>
        </w:rPr>
      </w:pPr>
      <w:r>
        <w:rPr>
          <w:rFonts w:hint="eastAsia" w:ascii="宋体" w:hAnsi="宋体" w:eastAsia="宋体" w:cs="宋体"/>
          <w:b/>
          <w:bCs/>
          <w:sz w:val="24"/>
        </w:rPr>
        <w:t>1.8 计量单位</w:t>
      </w:r>
    </w:p>
    <w:p>
      <w:pPr>
        <w:spacing w:line="500" w:lineRule="exact"/>
        <w:ind w:left="2" w:leftChars="1" w:firstLine="480" w:firstLineChars="200"/>
        <w:rPr>
          <w:rFonts w:hint="eastAsia" w:ascii="宋体" w:hAnsi="宋体" w:eastAsia="宋体" w:cs="宋体"/>
          <w:sz w:val="24"/>
        </w:rPr>
      </w:pPr>
      <w:r>
        <w:rPr>
          <w:rFonts w:hint="eastAsia" w:ascii="宋体" w:hAnsi="宋体" w:eastAsia="宋体" w:cs="宋体"/>
          <w:sz w:val="24"/>
        </w:rPr>
        <w:t>所有计量均采用中华人民共和国法定计量单位。</w:t>
      </w:r>
    </w:p>
    <w:p>
      <w:pPr>
        <w:spacing w:line="500" w:lineRule="exact"/>
        <w:ind w:left="0" w:leftChars="0" w:firstLine="0" w:firstLineChars="0"/>
        <w:rPr>
          <w:rFonts w:hint="eastAsia" w:ascii="宋体" w:hAnsi="宋体" w:eastAsia="宋体" w:cs="宋体"/>
          <w:b/>
          <w:bCs/>
          <w:sz w:val="24"/>
        </w:rPr>
      </w:pPr>
      <w:r>
        <w:rPr>
          <w:rFonts w:hint="eastAsia" w:ascii="宋体" w:hAnsi="宋体" w:eastAsia="宋体" w:cs="宋体"/>
          <w:b/>
          <w:bCs/>
          <w:sz w:val="24"/>
        </w:rPr>
        <w:t>1.9 踏勘现场</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1.9.1 采购人不统一组织供应商踏勘项目现场，各供应商自行踏勘现场，因供应商未踏勘现场引起的风险后果由供应商自行承担。</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1.9.2 供应商踏勘现场发生的费用自理。</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1.9.3 供应商自行负责在踏勘现场中所发生的人员伤亡和财产损失。</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1.9.4 供应商无论是否勘察现场，都将被认为已了解本项目的现场情况，掌握了编制响应文件的能力。</w:t>
      </w:r>
    </w:p>
    <w:p>
      <w:pPr>
        <w:spacing w:line="500" w:lineRule="exact"/>
        <w:ind w:left="0" w:leftChars="0" w:firstLine="0" w:firstLineChars="0"/>
        <w:rPr>
          <w:rFonts w:hint="eastAsia" w:ascii="宋体" w:hAnsi="宋体" w:eastAsia="宋体" w:cs="宋体"/>
          <w:b/>
          <w:bCs/>
          <w:sz w:val="24"/>
        </w:rPr>
      </w:pPr>
      <w:r>
        <w:rPr>
          <w:rFonts w:hint="eastAsia" w:ascii="宋体" w:hAnsi="宋体" w:eastAsia="宋体" w:cs="宋体"/>
          <w:b/>
          <w:bCs/>
          <w:sz w:val="24"/>
        </w:rPr>
        <w:t>1.10预备会</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本项目不召开预备会。</w:t>
      </w:r>
    </w:p>
    <w:p>
      <w:pPr>
        <w:spacing w:line="500" w:lineRule="exact"/>
        <w:ind w:left="0" w:leftChars="0" w:firstLine="0" w:firstLineChars="0"/>
        <w:rPr>
          <w:rFonts w:hint="eastAsia" w:ascii="宋体" w:hAnsi="宋体" w:eastAsia="宋体" w:cs="宋体"/>
          <w:b/>
          <w:bCs/>
          <w:sz w:val="24"/>
        </w:rPr>
      </w:pPr>
      <w:r>
        <w:rPr>
          <w:rFonts w:hint="eastAsia" w:ascii="宋体" w:hAnsi="宋体" w:eastAsia="宋体" w:cs="宋体"/>
          <w:b/>
          <w:bCs/>
          <w:sz w:val="24"/>
        </w:rPr>
        <w:t>1.11转包、分包</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禁止项目转包和分包。项目实施过程中发现存在项目转包及分包情况，采购人有权立即终止合同，由此造成的损失由供应商自行承担。</w:t>
      </w:r>
    </w:p>
    <w:p>
      <w:pPr>
        <w:pageBreakBefore w:val="0"/>
        <w:widowControl w:val="0"/>
        <w:kinsoku/>
        <w:wordWrap/>
        <w:overflowPunct/>
        <w:topLinePunct w:val="0"/>
        <w:autoSpaceDE/>
        <w:autoSpaceDN/>
        <w:bidi w:val="0"/>
        <w:adjustRightInd/>
        <w:spacing w:line="500" w:lineRule="exact"/>
        <w:ind w:left="0" w:leftChars="0" w:firstLine="0" w:firstLine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1.12 偏离</w:t>
      </w:r>
    </w:p>
    <w:p>
      <w:pPr>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不允许偏离</w:t>
      </w:r>
    </w:p>
    <w:p>
      <w:pPr>
        <w:keepNext w:val="0"/>
        <w:keepLines w:val="0"/>
        <w:pageBreakBefore w:val="0"/>
        <w:widowControl w:val="0"/>
        <w:kinsoku/>
        <w:wordWrap/>
        <w:overflowPunct/>
        <w:topLinePunct w:val="0"/>
        <w:autoSpaceDE/>
        <w:autoSpaceDN/>
        <w:bidi w:val="0"/>
        <w:adjustRightInd/>
        <w:spacing w:line="500" w:lineRule="exact"/>
        <w:ind w:left="0" w:leftChars="0" w:firstLine="0" w:firstLineChars="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1.1</w:t>
      </w:r>
      <w:r>
        <w:rPr>
          <w:rFonts w:hint="eastAsia" w:ascii="宋体" w:hAnsi="宋体" w:eastAsia="宋体" w:cs="宋体"/>
          <w:b/>
          <w:bCs w:val="0"/>
          <w:sz w:val="24"/>
          <w:szCs w:val="24"/>
          <w:lang w:val="en-US" w:eastAsia="zh-CN"/>
        </w:rPr>
        <w:t>3</w:t>
      </w:r>
      <w:r>
        <w:rPr>
          <w:rFonts w:hint="eastAsia" w:ascii="宋体" w:hAnsi="宋体" w:eastAsia="宋体" w:cs="宋体"/>
          <w:b/>
          <w:bCs w:val="0"/>
          <w:sz w:val="24"/>
          <w:szCs w:val="24"/>
        </w:rPr>
        <w:t xml:space="preserve">其它 </w:t>
      </w:r>
    </w:p>
    <w:p>
      <w:pPr>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1.13.1</w:t>
      </w:r>
      <w:r>
        <w:rPr>
          <w:rFonts w:hint="eastAsia" w:ascii="宋体" w:hAnsi="宋体" w:eastAsia="宋体" w:cs="宋体"/>
          <w:sz w:val="24"/>
          <w:szCs w:val="24"/>
        </w:rPr>
        <w:t>无论投标过程中的做法和结果如何，</w:t>
      </w:r>
      <w:r>
        <w:rPr>
          <w:rFonts w:hint="eastAsia" w:ascii="宋体" w:hAnsi="宋体" w:eastAsia="宋体" w:cs="宋体"/>
          <w:sz w:val="24"/>
          <w:szCs w:val="24"/>
          <w:lang w:eastAsia="zh-CN"/>
        </w:rPr>
        <w:t>供应商</w:t>
      </w:r>
      <w:r>
        <w:rPr>
          <w:rFonts w:hint="eastAsia" w:ascii="宋体" w:hAnsi="宋体" w:eastAsia="宋体" w:cs="宋体"/>
          <w:sz w:val="24"/>
          <w:szCs w:val="24"/>
        </w:rPr>
        <w:t xml:space="preserve">均应自行承担所有与参加投标有关的全部费用。 </w:t>
      </w:r>
    </w:p>
    <w:p>
      <w:pPr>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1.13.2</w:t>
      </w:r>
      <w:r>
        <w:rPr>
          <w:rFonts w:hint="eastAsia" w:ascii="宋体" w:hAnsi="宋体" w:eastAsia="宋体" w:cs="宋体"/>
          <w:sz w:val="24"/>
          <w:szCs w:val="24"/>
        </w:rPr>
        <w:t>无论投标结果如何，采购人或采购代理机构均无向</w:t>
      </w:r>
      <w:r>
        <w:rPr>
          <w:rFonts w:hint="eastAsia" w:ascii="宋体" w:hAnsi="宋体" w:eastAsia="宋体" w:cs="宋体"/>
          <w:sz w:val="24"/>
          <w:szCs w:val="24"/>
          <w:lang w:eastAsia="zh-CN"/>
        </w:rPr>
        <w:t>供应商</w:t>
      </w:r>
      <w:r>
        <w:rPr>
          <w:rFonts w:hint="eastAsia" w:ascii="宋体" w:hAnsi="宋体" w:eastAsia="宋体" w:cs="宋体"/>
          <w:sz w:val="24"/>
          <w:szCs w:val="24"/>
        </w:rPr>
        <w:t xml:space="preserve">解释其中标/未中标原因的义务。 </w:t>
      </w:r>
    </w:p>
    <w:p>
      <w:pPr>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1.13.3</w:t>
      </w:r>
      <w:r>
        <w:rPr>
          <w:rFonts w:hint="eastAsia" w:ascii="宋体" w:hAnsi="宋体" w:eastAsia="宋体" w:cs="宋体"/>
          <w:sz w:val="24"/>
          <w:szCs w:val="24"/>
        </w:rPr>
        <w:t>无论投标结果如何，</w:t>
      </w:r>
      <w:r>
        <w:rPr>
          <w:rFonts w:hint="eastAsia" w:ascii="宋体" w:hAnsi="宋体" w:eastAsia="宋体" w:cs="宋体"/>
          <w:sz w:val="24"/>
          <w:szCs w:val="24"/>
          <w:lang w:eastAsia="zh-CN"/>
        </w:rPr>
        <w:t>供应商</w:t>
      </w:r>
      <w:r>
        <w:rPr>
          <w:rFonts w:hint="eastAsia" w:ascii="宋体" w:hAnsi="宋体" w:eastAsia="宋体" w:cs="宋体"/>
          <w:sz w:val="24"/>
          <w:szCs w:val="24"/>
        </w:rPr>
        <w:t>的</w:t>
      </w:r>
      <w:r>
        <w:rPr>
          <w:rFonts w:hint="eastAsia" w:ascii="宋体" w:hAnsi="宋体" w:eastAsia="宋体" w:cs="宋体"/>
          <w:sz w:val="24"/>
          <w:szCs w:val="24"/>
          <w:lang w:eastAsia="zh-CN"/>
        </w:rPr>
        <w:t>响应文件</w:t>
      </w:r>
      <w:r>
        <w:rPr>
          <w:rFonts w:hint="eastAsia" w:ascii="宋体" w:hAnsi="宋体" w:eastAsia="宋体" w:cs="宋体"/>
          <w:sz w:val="24"/>
          <w:szCs w:val="24"/>
        </w:rPr>
        <w:t xml:space="preserve">不予退还。 </w:t>
      </w:r>
    </w:p>
    <w:p>
      <w:pPr>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lang w:val="en-US" w:eastAsia="zh-CN"/>
        </w:rPr>
      </w:pPr>
      <w:r>
        <w:rPr>
          <w:rFonts w:hint="eastAsia" w:ascii="宋体" w:hAnsi="宋体" w:eastAsia="宋体" w:cs="宋体"/>
          <w:sz w:val="24"/>
          <w:szCs w:val="24"/>
          <w:lang w:val="en-US" w:eastAsia="zh-CN"/>
        </w:rPr>
        <w:t>1.13.4</w:t>
      </w:r>
      <w:r>
        <w:rPr>
          <w:rFonts w:hint="eastAsia" w:ascii="宋体" w:hAnsi="宋体" w:eastAsia="宋体" w:cs="宋体"/>
          <w:sz w:val="24"/>
          <w:szCs w:val="24"/>
        </w:rPr>
        <w:t>无论中标与否，已获取标书的</w:t>
      </w:r>
      <w:r>
        <w:rPr>
          <w:rFonts w:hint="eastAsia" w:ascii="宋体" w:hAnsi="宋体" w:eastAsia="宋体" w:cs="宋体"/>
          <w:sz w:val="24"/>
          <w:szCs w:val="24"/>
          <w:lang w:eastAsia="zh-CN"/>
        </w:rPr>
        <w:t>供应商</w:t>
      </w:r>
      <w:r>
        <w:rPr>
          <w:rFonts w:hint="eastAsia" w:ascii="宋体" w:hAnsi="宋体" w:eastAsia="宋体" w:cs="宋体"/>
          <w:sz w:val="24"/>
          <w:szCs w:val="24"/>
        </w:rPr>
        <w:t>对</w:t>
      </w:r>
      <w:r>
        <w:rPr>
          <w:rFonts w:hint="eastAsia" w:ascii="宋体" w:hAnsi="宋体" w:eastAsia="宋体" w:cs="宋体"/>
          <w:sz w:val="24"/>
          <w:szCs w:val="24"/>
          <w:lang w:eastAsia="zh-CN"/>
        </w:rPr>
        <w:t>竞争性磋商文件</w:t>
      </w:r>
      <w:r>
        <w:rPr>
          <w:rFonts w:hint="eastAsia" w:ascii="宋体" w:hAnsi="宋体" w:eastAsia="宋体" w:cs="宋体"/>
          <w:sz w:val="24"/>
          <w:szCs w:val="24"/>
        </w:rPr>
        <w:t xml:space="preserve">负保密责任。 </w:t>
      </w:r>
    </w:p>
    <w:p>
      <w:pPr>
        <w:pStyle w:val="4"/>
        <w:spacing w:line="500" w:lineRule="exact"/>
        <w:ind w:left="0" w:leftChars="0" w:firstLine="0" w:firstLineChars="0"/>
        <w:rPr>
          <w:rFonts w:hint="eastAsia" w:ascii="宋体" w:hAnsi="宋体" w:eastAsia="宋体" w:cs="宋体"/>
          <w:sz w:val="24"/>
          <w:szCs w:val="24"/>
        </w:rPr>
      </w:pPr>
      <w:bookmarkStart w:id="15" w:name="_Toc25581"/>
      <w:r>
        <w:rPr>
          <w:rFonts w:hint="eastAsia" w:ascii="宋体" w:hAnsi="宋体" w:eastAsia="宋体" w:cs="宋体"/>
          <w:sz w:val="24"/>
          <w:szCs w:val="24"/>
        </w:rPr>
        <w:t>2.竞争性磋商文件</w:t>
      </w:r>
      <w:bookmarkEnd w:id="14"/>
      <w:bookmarkEnd w:id="15"/>
    </w:p>
    <w:p>
      <w:pPr>
        <w:spacing w:line="500" w:lineRule="exact"/>
        <w:rPr>
          <w:rFonts w:hint="eastAsia" w:ascii="宋体" w:hAnsi="宋体" w:eastAsia="宋体" w:cs="宋体"/>
          <w:sz w:val="24"/>
        </w:rPr>
      </w:pPr>
      <w:r>
        <w:rPr>
          <w:rFonts w:hint="eastAsia" w:ascii="宋体" w:hAnsi="宋体" w:eastAsia="宋体" w:cs="宋体"/>
          <w:sz w:val="24"/>
        </w:rPr>
        <w:t>2.1 竞争性磋商文件的组成</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（1）</w:t>
      </w:r>
      <w:r>
        <w:rPr>
          <w:rStyle w:val="26"/>
          <w:rFonts w:hint="eastAsia" w:ascii="宋体" w:hAnsi="宋体" w:eastAsia="宋体" w:cs="宋体"/>
          <w:color w:val="auto"/>
          <w:sz w:val="24"/>
          <w:lang w:val="zh-CN"/>
        </w:rPr>
        <w:t>竞争性磋商公告</w:t>
      </w:r>
      <w:r>
        <w:rPr>
          <w:rFonts w:hint="eastAsia" w:ascii="宋体" w:hAnsi="宋体" w:eastAsia="宋体" w:cs="宋体"/>
          <w:sz w:val="24"/>
        </w:rPr>
        <w:t>；</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（2）供应商须知；</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（3）竞争性磋商办法；</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（4）合同条款；</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（5）项目技术服务内容及</w:t>
      </w:r>
      <w:r>
        <w:rPr>
          <w:rFonts w:hint="eastAsia" w:cs="宋体"/>
          <w:sz w:val="24"/>
          <w:lang w:val="en-US" w:eastAsia="zh-CN"/>
        </w:rPr>
        <w:t>技术参数</w:t>
      </w:r>
      <w:r>
        <w:rPr>
          <w:rFonts w:hint="eastAsia" w:ascii="宋体" w:hAnsi="宋体" w:eastAsia="宋体" w:cs="宋体"/>
          <w:sz w:val="24"/>
        </w:rPr>
        <w:t>；</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（6）响应文件格式。</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2.1.2</w:t>
      </w:r>
      <w:r>
        <w:rPr>
          <w:rFonts w:hint="eastAsia" w:ascii="宋体" w:hAnsi="宋体" w:eastAsia="宋体" w:cs="宋体"/>
          <w:sz w:val="24"/>
          <w:szCs w:val="24"/>
          <w:lang w:eastAsia="zh-CN"/>
        </w:rPr>
        <w:t>供应商</w:t>
      </w:r>
      <w:r>
        <w:rPr>
          <w:rFonts w:hint="eastAsia" w:ascii="宋体" w:hAnsi="宋体" w:eastAsia="宋体" w:cs="宋体"/>
          <w:sz w:val="24"/>
          <w:szCs w:val="24"/>
        </w:rPr>
        <w:t>应认真阅读</w:t>
      </w:r>
      <w:r>
        <w:rPr>
          <w:rFonts w:hint="eastAsia" w:ascii="宋体" w:hAnsi="宋体" w:eastAsia="宋体" w:cs="宋体"/>
          <w:sz w:val="24"/>
          <w:szCs w:val="24"/>
          <w:lang w:eastAsia="zh-CN"/>
        </w:rPr>
        <w:t>竞争性磋商</w:t>
      </w:r>
      <w:r>
        <w:rPr>
          <w:rFonts w:hint="eastAsia" w:ascii="宋体" w:hAnsi="宋体" w:eastAsia="宋体" w:cs="宋体"/>
          <w:sz w:val="24"/>
          <w:szCs w:val="24"/>
          <w:lang w:val="en-US" w:eastAsia="zh-CN"/>
        </w:rPr>
        <w:t>文件</w:t>
      </w:r>
      <w:r>
        <w:rPr>
          <w:rFonts w:hint="eastAsia" w:ascii="宋体" w:hAnsi="宋体" w:eastAsia="宋体" w:cs="宋体"/>
          <w:sz w:val="24"/>
          <w:szCs w:val="24"/>
        </w:rPr>
        <w:t>中</w:t>
      </w:r>
      <w:r>
        <w:rPr>
          <w:rFonts w:hint="eastAsia" w:ascii="宋体" w:hAnsi="宋体" w:eastAsia="宋体" w:cs="宋体"/>
          <w:sz w:val="24"/>
          <w:szCs w:val="24"/>
          <w:lang w:val="en-US" w:eastAsia="zh-CN"/>
        </w:rPr>
        <w:t>全部内容</w:t>
      </w:r>
      <w:r>
        <w:rPr>
          <w:rFonts w:hint="eastAsia" w:ascii="宋体" w:hAnsi="宋体" w:eastAsia="宋体" w:cs="宋体"/>
          <w:sz w:val="24"/>
          <w:szCs w:val="24"/>
        </w:rPr>
        <w:t>。如果没有按照</w:t>
      </w:r>
      <w:r>
        <w:rPr>
          <w:rFonts w:hint="eastAsia" w:ascii="宋体" w:hAnsi="宋体" w:eastAsia="宋体" w:cs="宋体"/>
          <w:sz w:val="24"/>
          <w:szCs w:val="24"/>
          <w:lang w:eastAsia="zh-CN"/>
        </w:rPr>
        <w:t>竞争性磋商</w:t>
      </w:r>
      <w:r>
        <w:rPr>
          <w:rFonts w:hint="eastAsia" w:ascii="宋体" w:hAnsi="宋体" w:eastAsia="宋体" w:cs="宋体"/>
          <w:sz w:val="24"/>
          <w:szCs w:val="24"/>
        </w:rPr>
        <w:t>要求提交全部资料或者</w:t>
      </w:r>
      <w:r>
        <w:rPr>
          <w:rFonts w:hint="eastAsia" w:ascii="宋体" w:hAnsi="宋体" w:eastAsia="宋体" w:cs="宋体"/>
          <w:sz w:val="24"/>
          <w:szCs w:val="24"/>
          <w:lang w:eastAsia="zh-CN"/>
        </w:rPr>
        <w:t>响应文件</w:t>
      </w:r>
      <w:r>
        <w:rPr>
          <w:rFonts w:hint="eastAsia" w:ascii="宋体" w:hAnsi="宋体" w:eastAsia="宋体" w:cs="宋体"/>
          <w:sz w:val="24"/>
          <w:szCs w:val="24"/>
        </w:rPr>
        <w:t>没有对</w:t>
      </w:r>
      <w:r>
        <w:rPr>
          <w:rFonts w:hint="eastAsia" w:ascii="宋体" w:hAnsi="宋体" w:eastAsia="宋体" w:cs="宋体"/>
          <w:sz w:val="24"/>
          <w:szCs w:val="24"/>
          <w:lang w:eastAsia="zh-CN"/>
        </w:rPr>
        <w:t>竞争性磋商</w:t>
      </w:r>
      <w:r>
        <w:rPr>
          <w:rFonts w:hint="eastAsia" w:ascii="宋体" w:hAnsi="宋体" w:eastAsia="宋体" w:cs="宋体"/>
          <w:sz w:val="24"/>
          <w:szCs w:val="24"/>
        </w:rPr>
        <w:t>作出实质性响应，该投标有可能被拒绝，其风险应由</w:t>
      </w:r>
      <w:r>
        <w:rPr>
          <w:rFonts w:hint="eastAsia" w:ascii="宋体" w:hAnsi="宋体" w:eastAsia="宋体" w:cs="宋体"/>
          <w:sz w:val="24"/>
          <w:szCs w:val="24"/>
          <w:lang w:eastAsia="zh-CN"/>
        </w:rPr>
        <w:t>供应商</w:t>
      </w:r>
      <w:r>
        <w:rPr>
          <w:rFonts w:hint="eastAsia" w:ascii="宋体" w:hAnsi="宋体" w:eastAsia="宋体" w:cs="宋体"/>
          <w:sz w:val="24"/>
          <w:szCs w:val="24"/>
        </w:rPr>
        <w:t>自行承担。</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2.1.3 根据本章第2.2款和第2.3款对</w:t>
      </w:r>
      <w:r>
        <w:rPr>
          <w:rFonts w:hint="eastAsia" w:ascii="宋体" w:hAnsi="宋体" w:eastAsia="宋体" w:cs="宋体"/>
          <w:sz w:val="24"/>
          <w:szCs w:val="24"/>
          <w:lang w:eastAsia="zh-CN"/>
        </w:rPr>
        <w:t>竞争性磋商</w:t>
      </w:r>
      <w:r>
        <w:rPr>
          <w:rFonts w:hint="eastAsia" w:ascii="宋体" w:hAnsi="宋体" w:eastAsia="宋体" w:cs="宋体"/>
          <w:sz w:val="24"/>
          <w:szCs w:val="24"/>
        </w:rPr>
        <w:t>所作的澄清、修改，构成</w:t>
      </w:r>
      <w:r>
        <w:rPr>
          <w:rFonts w:hint="eastAsia" w:ascii="宋体" w:hAnsi="宋体" w:eastAsia="宋体" w:cs="宋体"/>
          <w:sz w:val="24"/>
          <w:szCs w:val="24"/>
          <w:lang w:eastAsia="zh-CN"/>
        </w:rPr>
        <w:t>竞争性磋商</w:t>
      </w:r>
      <w:r>
        <w:rPr>
          <w:rFonts w:hint="eastAsia" w:ascii="宋体" w:hAnsi="宋体" w:eastAsia="宋体" w:cs="宋体"/>
          <w:sz w:val="24"/>
          <w:szCs w:val="24"/>
        </w:rPr>
        <w:t>的组成部分</w:t>
      </w:r>
    </w:p>
    <w:p>
      <w:pPr>
        <w:spacing w:line="500" w:lineRule="exact"/>
        <w:rPr>
          <w:rFonts w:hint="eastAsia" w:ascii="宋体" w:hAnsi="宋体" w:eastAsia="宋体" w:cs="宋体"/>
          <w:sz w:val="24"/>
        </w:rPr>
      </w:pPr>
      <w:r>
        <w:rPr>
          <w:rFonts w:hint="eastAsia" w:ascii="宋体" w:hAnsi="宋体" w:eastAsia="宋体" w:cs="宋体"/>
          <w:sz w:val="24"/>
        </w:rPr>
        <w:t>2.2 竞争性磋商文件的澄清、修改</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2.2.1</w:t>
      </w:r>
      <w:r>
        <w:rPr>
          <w:rFonts w:hint="eastAsia" w:ascii="宋体" w:hAnsi="宋体" w:eastAsia="宋体" w:cs="宋体"/>
          <w:b w:val="0"/>
          <w:bCs/>
          <w:kern w:val="0"/>
          <w:sz w:val="24"/>
          <w:szCs w:val="24"/>
          <w:highlight w:val="none"/>
          <w:lang w:val="en-US" w:eastAsia="zh-CN"/>
        </w:rPr>
        <w:t>竞争性磋商文件一经在中国山东政府采购网、菏泽市政府采购公共服务平台、</w:t>
      </w:r>
      <w:r>
        <w:rPr>
          <w:rFonts w:hint="eastAsia" w:cs="宋体"/>
          <w:b w:val="0"/>
          <w:bCs/>
          <w:kern w:val="0"/>
          <w:sz w:val="24"/>
          <w:szCs w:val="24"/>
          <w:highlight w:val="none"/>
          <w:lang w:val="en-US" w:eastAsia="zh-CN"/>
        </w:rPr>
        <w:t>菏泽职业学院官网、</w:t>
      </w:r>
      <w:r>
        <w:rPr>
          <w:rFonts w:hint="eastAsia" w:ascii="宋体" w:hAnsi="宋体" w:eastAsia="宋体" w:cs="宋体"/>
          <w:b w:val="0"/>
          <w:bCs/>
          <w:kern w:val="0"/>
          <w:sz w:val="24"/>
          <w:szCs w:val="24"/>
          <w:highlight w:val="none"/>
          <w:lang w:val="en-US" w:eastAsia="zh-CN"/>
        </w:rPr>
        <w:t>赢标电子招标采购交易平台http://hz.fzbidding.com/发布，视作已发放给所有供应商（发布时间即为发出磋商文件的时间），各供应商应随时关注项目信息并及时在中国山东政府采购网、菏泽市政府采购公共服务平台、</w:t>
      </w:r>
      <w:r>
        <w:rPr>
          <w:rFonts w:hint="eastAsia" w:cs="宋体"/>
          <w:b w:val="0"/>
          <w:bCs/>
          <w:kern w:val="0"/>
          <w:sz w:val="24"/>
          <w:szCs w:val="24"/>
          <w:highlight w:val="none"/>
          <w:lang w:val="en-US" w:eastAsia="zh-CN"/>
        </w:rPr>
        <w:t>菏泽职业学院官网、</w:t>
      </w:r>
      <w:r>
        <w:rPr>
          <w:rFonts w:hint="eastAsia" w:ascii="宋体" w:hAnsi="宋体" w:eastAsia="宋体" w:cs="宋体"/>
          <w:b w:val="0"/>
          <w:bCs/>
          <w:kern w:val="0"/>
          <w:sz w:val="24"/>
          <w:szCs w:val="24"/>
          <w:highlight w:val="none"/>
          <w:lang w:val="en-US" w:eastAsia="zh-CN"/>
        </w:rPr>
        <w:t>赢标电子招标采购交易平台http://hz.fzbidding.com/下载电子版竞争性磋商文件和各类澄清答疑，否则所造成的一切后果由供应商自负。</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2.2.2 </w:t>
      </w:r>
      <w:r>
        <w:rPr>
          <w:rFonts w:hint="eastAsia" w:ascii="宋体" w:hAnsi="宋体" w:eastAsia="宋体" w:cs="宋体"/>
          <w:sz w:val="24"/>
          <w:szCs w:val="24"/>
          <w:lang w:eastAsia="zh-CN"/>
        </w:rPr>
        <w:t>供应商</w:t>
      </w:r>
      <w:r>
        <w:rPr>
          <w:rFonts w:hint="eastAsia" w:ascii="宋体" w:hAnsi="宋体" w:eastAsia="宋体" w:cs="宋体"/>
          <w:sz w:val="24"/>
          <w:szCs w:val="24"/>
        </w:rPr>
        <w:t>在获取</w:t>
      </w:r>
      <w:r>
        <w:rPr>
          <w:rFonts w:hint="eastAsia" w:ascii="宋体" w:hAnsi="宋体" w:eastAsia="宋体" w:cs="宋体"/>
          <w:sz w:val="24"/>
          <w:szCs w:val="24"/>
          <w:lang w:eastAsia="zh-CN"/>
        </w:rPr>
        <w:t>竞争性磋商文件</w:t>
      </w:r>
      <w:r>
        <w:rPr>
          <w:rFonts w:hint="eastAsia" w:ascii="宋体" w:hAnsi="宋体" w:eastAsia="宋体" w:cs="宋体"/>
          <w:sz w:val="24"/>
          <w:szCs w:val="24"/>
        </w:rPr>
        <w:t>后，应仔细阅读和检查</w:t>
      </w:r>
      <w:r>
        <w:rPr>
          <w:rFonts w:hint="eastAsia" w:ascii="宋体" w:hAnsi="宋体" w:eastAsia="宋体" w:cs="宋体"/>
          <w:sz w:val="24"/>
          <w:szCs w:val="24"/>
          <w:lang w:eastAsia="zh-CN"/>
        </w:rPr>
        <w:t>竞争性磋商文件</w:t>
      </w:r>
      <w:r>
        <w:rPr>
          <w:rFonts w:hint="eastAsia" w:ascii="宋体" w:hAnsi="宋体" w:eastAsia="宋体" w:cs="宋体"/>
          <w:sz w:val="24"/>
          <w:szCs w:val="24"/>
        </w:rPr>
        <w:t>的全部内容。如发现缺页或附件不全，应及时向</w:t>
      </w:r>
      <w:r>
        <w:rPr>
          <w:rFonts w:hint="eastAsia" w:ascii="宋体" w:hAnsi="宋体" w:eastAsia="宋体" w:cs="宋体"/>
          <w:sz w:val="24"/>
          <w:szCs w:val="24"/>
          <w:lang w:eastAsia="zh-CN"/>
        </w:rPr>
        <w:t>采购人</w:t>
      </w:r>
      <w:r>
        <w:rPr>
          <w:rFonts w:hint="eastAsia" w:ascii="宋体" w:hAnsi="宋体" w:eastAsia="宋体" w:cs="宋体"/>
          <w:sz w:val="24"/>
          <w:szCs w:val="24"/>
        </w:rPr>
        <w:t>提出，以便补齐。如有疑问，应在</w:t>
      </w:r>
      <w:r>
        <w:rPr>
          <w:rFonts w:hint="eastAsia" w:ascii="宋体" w:hAnsi="宋体" w:eastAsia="宋体" w:cs="宋体"/>
          <w:sz w:val="24"/>
          <w:szCs w:val="24"/>
          <w:lang w:eastAsia="zh-CN"/>
        </w:rPr>
        <w:t>供应商</w:t>
      </w:r>
      <w:r>
        <w:rPr>
          <w:rFonts w:hint="eastAsia" w:ascii="宋体" w:hAnsi="宋体" w:eastAsia="宋体" w:cs="宋体"/>
          <w:sz w:val="24"/>
          <w:szCs w:val="24"/>
        </w:rPr>
        <w:t>须知前附表规定的时间、形式，要求</w:t>
      </w:r>
      <w:r>
        <w:rPr>
          <w:rFonts w:hint="eastAsia" w:ascii="宋体" w:hAnsi="宋体" w:eastAsia="宋体" w:cs="宋体"/>
          <w:sz w:val="24"/>
          <w:szCs w:val="24"/>
          <w:lang w:eastAsia="zh-CN"/>
        </w:rPr>
        <w:t>采购人</w:t>
      </w:r>
      <w:r>
        <w:rPr>
          <w:rFonts w:hint="eastAsia" w:ascii="宋体" w:hAnsi="宋体" w:eastAsia="宋体" w:cs="宋体"/>
          <w:sz w:val="24"/>
          <w:szCs w:val="24"/>
        </w:rPr>
        <w:t>对</w:t>
      </w:r>
      <w:r>
        <w:rPr>
          <w:rFonts w:hint="eastAsia" w:ascii="宋体" w:hAnsi="宋体" w:eastAsia="宋体" w:cs="宋体"/>
          <w:sz w:val="24"/>
          <w:szCs w:val="24"/>
          <w:lang w:eastAsia="zh-CN"/>
        </w:rPr>
        <w:t>竞争性磋商文件</w:t>
      </w:r>
      <w:r>
        <w:rPr>
          <w:rFonts w:hint="eastAsia" w:ascii="宋体" w:hAnsi="宋体" w:eastAsia="宋体" w:cs="宋体"/>
          <w:sz w:val="24"/>
          <w:szCs w:val="24"/>
        </w:rPr>
        <w:t>予以澄清。</w:t>
      </w:r>
      <w:r>
        <w:rPr>
          <w:rFonts w:hint="eastAsia" w:ascii="宋体" w:hAnsi="宋体" w:eastAsia="宋体" w:cs="宋体"/>
          <w:sz w:val="24"/>
          <w:szCs w:val="24"/>
          <w:lang w:eastAsia="zh-CN"/>
        </w:rPr>
        <w:t>供应商</w:t>
      </w:r>
      <w:r>
        <w:rPr>
          <w:rFonts w:hint="eastAsia" w:ascii="宋体" w:hAnsi="宋体" w:eastAsia="宋体" w:cs="宋体"/>
          <w:sz w:val="24"/>
          <w:szCs w:val="24"/>
        </w:rPr>
        <w:t>如不提出疑问，</w:t>
      </w:r>
      <w:r>
        <w:rPr>
          <w:rFonts w:hint="eastAsia" w:ascii="宋体" w:hAnsi="宋体" w:eastAsia="宋体" w:cs="宋体"/>
          <w:sz w:val="24"/>
          <w:szCs w:val="24"/>
          <w:lang w:eastAsia="zh-CN"/>
        </w:rPr>
        <w:t>采购人</w:t>
      </w:r>
      <w:r>
        <w:rPr>
          <w:rFonts w:hint="eastAsia" w:ascii="宋体" w:hAnsi="宋体" w:eastAsia="宋体" w:cs="宋体"/>
          <w:sz w:val="24"/>
          <w:szCs w:val="24"/>
        </w:rPr>
        <w:t>及代理公司将视为完全认同</w:t>
      </w:r>
      <w:r>
        <w:rPr>
          <w:rFonts w:hint="eastAsia" w:ascii="宋体" w:hAnsi="宋体" w:eastAsia="宋体" w:cs="宋体"/>
          <w:sz w:val="24"/>
          <w:szCs w:val="24"/>
          <w:lang w:eastAsia="zh-CN"/>
        </w:rPr>
        <w:t>竞争性磋商文件</w:t>
      </w:r>
      <w:r>
        <w:rPr>
          <w:rFonts w:hint="eastAsia" w:ascii="宋体" w:hAnsi="宋体" w:eastAsia="宋体" w:cs="宋体"/>
          <w:sz w:val="24"/>
          <w:szCs w:val="24"/>
        </w:rPr>
        <w:t>。</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2.2.3提交首次</w:t>
      </w:r>
      <w:r>
        <w:rPr>
          <w:rFonts w:hint="eastAsia" w:ascii="宋体" w:hAnsi="宋体" w:eastAsia="宋体" w:cs="宋体"/>
          <w:sz w:val="24"/>
          <w:szCs w:val="24"/>
          <w:lang w:eastAsia="zh-CN"/>
        </w:rPr>
        <w:t>响应文件</w:t>
      </w:r>
      <w:r>
        <w:rPr>
          <w:rFonts w:hint="eastAsia" w:ascii="宋体" w:hAnsi="宋体" w:eastAsia="宋体" w:cs="宋体"/>
          <w:sz w:val="24"/>
          <w:szCs w:val="24"/>
        </w:rPr>
        <w:t>截止之日前，</w:t>
      </w:r>
      <w:r>
        <w:rPr>
          <w:rFonts w:hint="eastAsia" w:ascii="宋体" w:hAnsi="宋体" w:eastAsia="宋体" w:cs="宋体"/>
          <w:sz w:val="24"/>
          <w:szCs w:val="24"/>
          <w:lang w:eastAsia="zh-CN"/>
        </w:rPr>
        <w:t>采购人</w:t>
      </w:r>
      <w:r>
        <w:rPr>
          <w:rFonts w:hint="eastAsia" w:ascii="宋体" w:hAnsi="宋体" w:eastAsia="宋体" w:cs="宋体"/>
          <w:sz w:val="24"/>
          <w:szCs w:val="24"/>
        </w:rPr>
        <w:t>、代理机构可以对已发出的</w:t>
      </w:r>
      <w:r>
        <w:rPr>
          <w:rFonts w:hint="eastAsia" w:ascii="宋体" w:hAnsi="宋体" w:eastAsia="宋体" w:cs="宋体"/>
          <w:sz w:val="24"/>
          <w:szCs w:val="24"/>
          <w:lang w:eastAsia="zh-CN"/>
        </w:rPr>
        <w:t>竞争性磋商文件</w:t>
      </w:r>
      <w:r>
        <w:rPr>
          <w:rFonts w:hint="eastAsia" w:ascii="宋体" w:hAnsi="宋体" w:eastAsia="宋体" w:cs="宋体"/>
          <w:sz w:val="24"/>
          <w:szCs w:val="24"/>
        </w:rPr>
        <w:t>进行必要的澄清或者修改，澄清或者修改的内容作为</w:t>
      </w:r>
      <w:r>
        <w:rPr>
          <w:rFonts w:hint="eastAsia" w:ascii="宋体" w:hAnsi="宋体" w:eastAsia="宋体" w:cs="宋体"/>
          <w:sz w:val="24"/>
          <w:szCs w:val="24"/>
          <w:lang w:eastAsia="zh-CN"/>
        </w:rPr>
        <w:t>竞争性磋商文件</w:t>
      </w:r>
      <w:r>
        <w:rPr>
          <w:rFonts w:hint="eastAsia" w:ascii="宋体" w:hAnsi="宋体" w:eastAsia="宋体" w:cs="宋体"/>
          <w:sz w:val="24"/>
          <w:szCs w:val="24"/>
        </w:rPr>
        <w:t>的组成部分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该</w:t>
      </w:r>
      <w:r>
        <w:rPr>
          <w:rFonts w:hint="eastAsia" w:ascii="宋体" w:hAnsi="宋体" w:eastAsia="宋体" w:cs="宋体"/>
          <w:sz w:val="24"/>
          <w:szCs w:val="24"/>
        </w:rPr>
        <w:t>澄清、修改的内容发布在相关平台，请各供应商自行查阅下载。澄清或者修改的内容可能影响</w:t>
      </w:r>
      <w:r>
        <w:rPr>
          <w:rFonts w:hint="eastAsia" w:ascii="宋体" w:hAnsi="宋体" w:eastAsia="宋体" w:cs="宋体"/>
          <w:sz w:val="24"/>
          <w:szCs w:val="24"/>
          <w:lang w:eastAsia="zh-CN"/>
        </w:rPr>
        <w:t>响应文件</w:t>
      </w:r>
      <w:r>
        <w:rPr>
          <w:rFonts w:hint="eastAsia" w:ascii="宋体" w:hAnsi="宋体" w:eastAsia="宋体" w:cs="宋体"/>
          <w:sz w:val="24"/>
          <w:szCs w:val="24"/>
        </w:rPr>
        <w:t>编制的，</w:t>
      </w:r>
      <w:r>
        <w:rPr>
          <w:rFonts w:hint="eastAsia" w:ascii="宋体" w:hAnsi="宋体" w:eastAsia="宋体" w:cs="宋体"/>
          <w:sz w:val="24"/>
          <w:szCs w:val="24"/>
          <w:lang w:eastAsia="zh-CN"/>
        </w:rPr>
        <w:t>采购人</w:t>
      </w:r>
      <w:r>
        <w:rPr>
          <w:rFonts w:hint="eastAsia" w:ascii="宋体" w:hAnsi="宋体" w:eastAsia="宋体" w:cs="宋体"/>
          <w:sz w:val="24"/>
          <w:szCs w:val="24"/>
        </w:rPr>
        <w:t>、代理机构应当顺延提交</w:t>
      </w:r>
      <w:r>
        <w:rPr>
          <w:rFonts w:hint="eastAsia" w:ascii="宋体" w:hAnsi="宋体" w:eastAsia="宋体" w:cs="宋体"/>
          <w:sz w:val="24"/>
          <w:szCs w:val="24"/>
          <w:lang w:eastAsia="zh-CN"/>
        </w:rPr>
        <w:t>响应文件</w:t>
      </w:r>
      <w:r>
        <w:rPr>
          <w:rFonts w:hint="eastAsia" w:ascii="宋体" w:hAnsi="宋体" w:eastAsia="宋体" w:cs="宋体"/>
          <w:sz w:val="24"/>
          <w:szCs w:val="24"/>
        </w:rPr>
        <w:t>截止时间。</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2.2.4</w:t>
      </w:r>
      <w:r>
        <w:rPr>
          <w:rFonts w:hint="eastAsia" w:ascii="宋体" w:hAnsi="宋体" w:eastAsia="宋体" w:cs="宋体"/>
          <w:sz w:val="24"/>
          <w:szCs w:val="24"/>
          <w:lang w:eastAsia="zh-CN"/>
        </w:rPr>
        <w:t>采购人</w:t>
      </w:r>
      <w:r>
        <w:rPr>
          <w:rFonts w:hint="eastAsia" w:ascii="宋体" w:hAnsi="宋体" w:eastAsia="宋体" w:cs="宋体"/>
          <w:sz w:val="24"/>
          <w:szCs w:val="24"/>
        </w:rPr>
        <w:t>或代理机构对疑问提交截止前收到的任何澄清要求将按照</w:t>
      </w:r>
      <w:r>
        <w:rPr>
          <w:rFonts w:hint="eastAsia" w:ascii="宋体" w:hAnsi="宋体" w:eastAsia="宋体" w:cs="宋体"/>
          <w:sz w:val="24"/>
          <w:szCs w:val="24"/>
          <w:lang w:eastAsia="zh-CN"/>
        </w:rPr>
        <w:t>供应商</w:t>
      </w:r>
      <w:r>
        <w:rPr>
          <w:rFonts w:hint="eastAsia" w:ascii="宋体" w:hAnsi="宋体" w:eastAsia="宋体" w:cs="宋体"/>
          <w:sz w:val="24"/>
          <w:szCs w:val="24"/>
        </w:rPr>
        <w:t>须知前附表规定的时间作出答复。对参与本项目的</w:t>
      </w:r>
      <w:r>
        <w:rPr>
          <w:rFonts w:hint="eastAsia" w:ascii="宋体" w:hAnsi="宋体" w:eastAsia="宋体" w:cs="宋体"/>
          <w:sz w:val="24"/>
          <w:szCs w:val="24"/>
          <w:lang w:eastAsia="zh-CN"/>
        </w:rPr>
        <w:t>供应商</w:t>
      </w:r>
      <w:r>
        <w:rPr>
          <w:rFonts w:hint="eastAsia" w:ascii="宋体" w:hAnsi="宋体" w:eastAsia="宋体" w:cs="宋体"/>
          <w:sz w:val="24"/>
          <w:szCs w:val="24"/>
        </w:rPr>
        <w:t>提出的问题的答复是</w:t>
      </w:r>
      <w:r>
        <w:rPr>
          <w:rFonts w:hint="eastAsia" w:ascii="宋体" w:hAnsi="宋体" w:eastAsia="宋体" w:cs="宋体"/>
          <w:sz w:val="24"/>
          <w:szCs w:val="24"/>
          <w:lang w:eastAsia="zh-CN"/>
        </w:rPr>
        <w:t>竞争性磋商文件</w:t>
      </w:r>
      <w:r>
        <w:rPr>
          <w:rFonts w:hint="eastAsia" w:ascii="宋体" w:hAnsi="宋体" w:eastAsia="宋体" w:cs="宋体"/>
          <w:sz w:val="24"/>
          <w:szCs w:val="24"/>
        </w:rPr>
        <w:t>的组成部分。</w:t>
      </w:r>
      <w:bookmarkStart w:id="16" w:name="_Toc414539105"/>
      <w:r>
        <w:rPr>
          <w:rFonts w:hint="eastAsia" w:ascii="宋体" w:hAnsi="宋体" w:eastAsia="宋体" w:cs="宋体"/>
          <w:sz w:val="24"/>
          <w:szCs w:val="24"/>
        </w:rPr>
        <w:t xml:space="preserve">    </w:t>
      </w:r>
    </w:p>
    <w:bookmarkEnd w:id="16"/>
    <w:p>
      <w:pPr>
        <w:pStyle w:val="4"/>
        <w:numPr>
          <w:ilvl w:val="0"/>
          <w:numId w:val="0"/>
        </w:numPr>
        <w:spacing w:line="500" w:lineRule="exact"/>
        <w:rPr>
          <w:rFonts w:hint="eastAsia" w:ascii="宋体" w:hAnsi="宋体" w:eastAsia="宋体" w:cs="宋体"/>
          <w:sz w:val="24"/>
          <w:szCs w:val="24"/>
        </w:rPr>
      </w:pPr>
      <w:r>
        <w:rPr>
          <w:rFonts w:hint="eastAsia" w:cs="宋体"/>
          <w:sz w:val="24"/>
          <w:szCs w:val="24"/>
          <w:lang w:val="en-US" w:eastAsia="zh-CN"/>
        </w:rPr>
        <w:t>3.</w:t>
      </w:r>
      <w:r>
        <w:rPr>
          <w:rFonts w:hint="eastAsia" w:ascii="宋体" w:hAnsi="宋体" w:eastAsia="宋体" w:cs="宋体"/>
          <w:sz w:val="24"/>
          <w:szCs w:val="24"/>
        </w:rPr>
        <w:t>响应文件</w:t>
      </w:r>
    </w:p>
    <w:p>
      <w:pPr>
        <w:spacing w:line="500" w:lineRule="exact"/>
        <w:ind w:left="0" w:leftChars="0" w:firstLine="0" w:firstLine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3.1响应文件的组成</w:t>
      </w:r>
    </w:p>
    <w:p>
      <w:pPr>
        <w:spacing w:line="500" w:lineRule="exact"/>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供应商应按竞争性磋商规定的内容和格式编制并提交响应文件，响应文件内容组成必须完整，至少包含以下内容：</w:t>
      </w:r>
    </w:p>
    <w:p>
      <w:pPr>
        <w:spacing w:line="500" w:lineRule="exact"/>
        <w:ind w:firstLine="480" w:firstLineChars="200"/>
        <w:rPr>
          <w:rFonts w:hint="eastAsia" w:ascii="宋体" w:hAnsi="宋体" w:eastAsia="宋体" w:cs="宋体"/>
          <w:sz w:val="24"/>
        </w:rPr>
      </w:pPr>
      <w:r>
        <w:rPr>
          <w:rFonts w:hint="eastAsia" w:ascii="宋体" w:hAnsi="宋体" w:eastAsia="宋体" w:cs="宋体"/>
        </w:rPr>
        <w:fldChar w:fldCharType="begin"/>
      </w:r>
      <w:r>
        <w:rPr>
          <w:rFonts w:hint="eastAsia" w:ascii="宋体" w:hAnsi="宋体" w:eastAsia="宋体" w:cs="宋体"/>
        </w:rPr>
        <w:instrText xml:space="preserve"> HYPERLINK \l "_Toc367286147" </w:instrText>
      </w:r>
      <w:r>
        <w:rPr>
          <w:rFonts w:hint="eastAsia" w:ascii="宋体" w:hAnsi="宋体" w:eastAsia="宋体" w:cs="宋体"/>
        </w:rPr>
        <w:fldChar w:fldCharType="separate"/>
      </w:r>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hint="eastAsia" w:ascii="宋体" w:hAnsi="宋体" w:eastAsia="宋体" w:cs="宋体"/>
          <w:sz w:val="24"/>
          <w:lang w:eastAsia="zh-CN"/>
        </w:rPr>
        <w:t>）</w:t>
      </w:r>
      <w:r>
        <w:rPr>
          <w:rFonts w:hint="eastAsia" w:ascii="宋体" w:hAnsi="宋体" w:eastAsia="宋体" w:cs="宋体"/>
          <w:sz w:val="24"/>
        </w:rPr>
        <w:t>报价函</w:t>
      </w:r>
      <w:r>
        <w:rPr>
          <w:rFonts w:hint="eastAsia" w:ascii="宋体" w:hAnsi="宋体" w:eastAsia="宋体" w:cs="宋体"/>
          <w:sz w:val="24"/>
        </w:rPr>
        <w:fldChar w:fldCharType="end"/>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rPr>
        <w:t>报价一览表</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lang w:eastAsia="zh-CN"/>
        </w:rPr>
        <w:t>）</w:t>
      </w:r>
      <w:r>
        <w:rPr>
          <w:rFonts w:hint="eastAsia" w:ascii="宋体" w:hAnsi="宋体" w:eastAsia="宋体" w:cs="宋体"/>
          <w:sz w:val="24"/>
        </w:rPr>
        <w:t>法定代表人及委托人身份证明</w:t>
      </w:r>
    </w:p>
    <w:p>
      <w:pPr>
        <w:spacing w:line="500" w:lineRule="exact"/>
        <w:ind w:firstLine="480" w:firstLineChars="200"/>
        <w:rPr>
          <w:rFonts w:hint="default" w:ascii="宋体" w:hAnsi="宋体" w:eastAsia="宋体" w:cs="宋体"/>
          <w:sz w:val="24"/>
          <w:lang w:val="en-US"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4</w:t>
      </w:r>
      <w:r>
        <w:rPr>
          <w:rFonts w:hint="eastAsia" w:ascii="宋体" w:hAnsi="宋体" w:eastAsia="宋体" w:cs="宋体"/>
          <w:sz w:val="24"/>
          <w:lang w:eastAsia="zh-CN"/>
        </w:rPr>
        <w:t>）</w:t>
      </w:r>
      <w:r>
        <w:rPr>
          <w:rFonts w:hint="eastAsia" w:cs="宋体"/>
          <w:sz w:val="24"/>
          <w:lang w:val="en-US" w:eastAsia="zh-CN"/>
        </w:rPr>
        <w:t>报价明细表</w:t>
      </w:r>
    </w:p>
    <w:p>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5</w:t>
      </w:r>
      <w:r>
        <w:rPr>
          <w:rFonts w:hint="eastAsia" w:ascii="宋体" w:hAnsi="宋体" w:eastAsia="宋体" w:cs="宋体"/>
          <w:sz w:val="24"/>
          <w:lang w:eastAsia="zh-CN"/>
        </w:rPr>
        <w:t>）</w:t>
      </w:r>
      <w:r>
        <w:rPr>
          <w:rFonts w:hint="eastAsia" w:ascii="宋体" w:hAnsi="宋体" w:eastAsia="宋体" w:cs="宋体"/>
          <w:sz w:val="24"/>
          <w:lang w:eastAsia="zh-CN"/>
        </w:rPr>
        <w:fldChar w:fldCharType="begin"/>
      </w:r>
      <w:r>
        <w:rPr>
          <w:rFonts w:hint="eastAsia" w:ascii="宋体" w:hAnsi="宋体" w:eastAsia="宋体" w:cs="宋体"/>
          <w:sz w:val="24"/>
          <w:lang w:eastAsia="zh-CN"/>
        </w:rPr>
        <w:instrText xml:space="preserve"> HYPERLINK \l "_Toc367286158" </w:instrText>
      </w:r>
      <w:r>
        <w:rPr>
          <w:rFonts w:hint="eastAsia" w:ascii="宋体" w:hAnsi="宋体" w:eastAsia="宋体" w:cs="宋体"/>
          <w:sz w:val="24"/>
          <w:lang w:eastAsia="zh-CN"/>
        </w:rPr>
        <w:fldChar w:fldCharType="separate"/>
      </w:r>
      <w:r>
        <w:rPr>
          <w:rFonts w:hint="eastAsia" w:ascii="宋体" w:hAnsi="宋体" w:eastAsia="宋体" w:cs="宋体"/>
          <w:sz w:val="24"/>
          <w:lang w:eastAsia="zh-CN"/>
        </w:rPr>
        <w:t>资格审查</w:t>
      </w:r>
      <w:r>
        <w:rPr>
          <w:rFonts w:hint="eastAsia" w:ascii="宋体" w:hAnsi="宋体" w:eastAsia="宋体" w:cs="宋体"/>
          <w:sz w:val="24"/>
          <w:lang w:eastAsia="zh-CN"/>
        </w:rPr>
        <w:fldChar w:fldCharType="end"/>
      </w:r>
      <w:r>
        <w:rPr>
          <w:rFonts w:hint="eastAsia" w:ascii="宋体" w:hAnsi="宋体" w:eastAsia="宋体" w:cs="宋体"/>
          <w:sz w:val="24"/>
          <w:lang w:eastAsia="zh-CN"/>
        </w:rPr>
        <w:t>资料</w:t>
      </w:r>
    </w:p>
    <w:p>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6</w:t>
      </w:r>
      <w:r>
        <w:rPr>
          <w:rFonts w:hint="eastAsia" w:ascii="宋体" w:hAnsi="宋体" w:eastAsia="宋体" w:cs="宋体"/>
          <w:sz w:val="24"/>
          <w:lang w:eastAsia="zh-CN"/>
        </w:rPr>
        <w:t>）</w:t>
      </w:r>
      <w:r>
        <w:rPr>
          <w:rFonts w:hint="eastAsia" w:ascii="宋体" w:hAnsi="宋体" w:eastAsia="宋体" w:cs="宋体"/>
          <w:sz w:val="24"/>
          <w:lang w:val="en-US" w:eastAsia="zh-CN"/>
        </w:rPr>
        <w:t>技术</w:t>
      </w:r>
      <w:r>
        <w:rPr>
          <w:rFonts w:hint="eastAsia" w:ascii="宋体" w:hAnsi="宋体" w:eastAsia="宋体" w:cs="宋体"/>
          <w:sz w:val="24"/>
          <w:lang w:eastAsia="zh-CN"/>
        </w:rPr>
        <w:t>方案</w:t>
      </w:r>
    </w:p>
    <w:p>
      <w:pPr>
        <w:spacing w:line="500" w:lineRule="exact"/>
        <w:ind w:firstLine="480" w:firstLineChars="200"/>
        <w:rPr>
          <w:rFonts w:hint="default" w:ascii="宋体" w:hAnsi="宋体" w:eastAsia="宋体" w:cs="宋体"/>
          <w:sz w:val="24"/>
          <w:lang w:val="en-US" w:eastAsia="zh-CN"/>
        </w:rPr>
      </w:pPr>
      <w:r>
        <w:rPr>
          <w:rFonts w:hint="eastAsia" w:cs="宋体"/>
          <w:sz w:val="24"/>
          <w:lang w:val="en-US" w:eastAsia="zh-CN"/>
        </w:rPr>
        <w:t>（7）</w:t>
      </w:r>
      <w:r>
        <w:rPr>
          <w:rFonts w:hint="eastAsia" w:ascii="宋体" w:hAnsi="宋体" w:eastAsia="宋体" w:cs="宋体"/>
          <w:sz w:val="24"/>
          <w:lang w:val="en-US" w:eastAsia="zh-CN"/>
        </w:rPr>
        <w:t>商务偏离表</w:t>
      </w:r>
    </w:p>
    <w:p>
      <w:pPr>
        <w:spacing w:line="500" w:lineRule="exact"/>
        <w:ind w:firstLine="480" w:firstLineChars="200"/>
        <w:rPr>
          <w:rFonts w:hint="default" w:ascii="宋体" w:hAnsi="宋体" w:eastAsia="宋体" w:cs="宋体"/>
          <w:sz w:val="24"/>
          <w:lang w:val="en-US" w:eastAsia="zh-CN"/>
        </w:rPr>
      </w:pPr>
      <w:r>
        <w:rPr>
          <w:rFonts w:hint="eastAsia" w:ascii="宋体" w:hAnsi="宋体" w:eastAsia="宋体" w:cs="宋体"/>
          <w:sz w:val="24"/>
          <w:lang w:eastAsia="zh-CN"/>
        </w:rPr>
        <w:t>（</w:t>
      </w:r>
      <w:r>
        <w:rPr>
          <w:rFonts w:hint="eastAsia" w:cs="宋体"/>
          <w:sz w:val="24"/>
          <w:lang w:val="en-US" w:eastAsia="zh-CN"/>
        </w:rPr>
        <w:t>8</w:t>
      </w:r>
      <w:r>
        <w:rPr>
          <w:rFonts w:hint="eastAsia" w:ascii="宋体" w:hAnsi="宋体" w:eastAsia="宋体" w:cs="宋体"/>
          <w:sz w:val="24"/>
          <w:lang w:eastAsia="zh-CN"/>
        </w:rPr>
        <w:t>）</w:t>
      </w:r>
      <w:r>
        <w:rPr>
          <w:rFonts w:hint="eastAsia" w:ascii="宋体" w:hAnsi="宋体" w:eastAsia="宋体" w:cs="宋体"/>
          <w:sz w:val="24"/>
          <w:lang w:val="en-US" w:eastAsia="zh-CN"/>
        </w:rPr>
        <w:t>菏泽市政府采购供应商资格信用承诺函</w:t>
      </w:r>
    </w:p>
    <w:p>
      <w:pPr>
        <w:spacing w:line="500" w:lineRule="exact"/>
        <w:ind w:left="480" w:leftChars="200" w:firstLine="0" w:firstLineChars="0"/>
        <w:rPr>
          <w:rFonts w:hint="default" w:ascii="宋体" w:hAnsi="宋体" w:eastAsia="宋体" w:cs="宋体"/>
          <w:sz w:val="24"/>
          <w:lang w:val="en-US" w:eastAsia="zh-CN"/>
        </w:rPr>
      </w:pPr>
      <w:r>
        <w:rPr>
          <w:rFonts w:hint="eastAsia" w:ascii="宋体" w:hAnsi="宋体" w:eastAsia="宋体" w:cs="宋体"/>
          <w:sz w:val="24"/>
          <w:lang w:eastAsia="zh-CN"/>
        </w:rPr>
        <w:t>（</w:t>
      </w:r>
      <w:r>
        <w:rPr>
          <w:rFonts w:hint="eastAsia" w:cs="宋体"/>
          <w:sz w:val="24"/>
          <w:lang w:val="en-US" w:eastAsia="zh-CN"/>
        </w:rPr>
        <w:t>9</w:t>
      </w:r>
      <w:r>
        <w:rPr>
          <w:rFonts w:hint="eastAsia" w:ascii="宋体" w:hAnsi="宋体" w:eastAsia="宋体" w:cs="宋体"/>
          <w:sz w:val="24"/>
          <w:lang w:eastAsia="zh-CN"/>
        </w:rPr>
        <w:t>）供应商认为需要提供的其他资料</w:t>
      </w:r>
      <w:r>
        <w:rPr>
          <w:rFonts w:hint="eastAsia" w:ascii="宋体" w:hAnsi="宋体" w:eastAsia="宋体" w:cs="宋体"/>
          <w:sz w:val="24"/>
          <w:lang w:eastAsia="zh-CN"/>
        </w:rPr>
        <w:br w:type="textWrapping"/>
      </w:r>
      <w:r>
        <w:rPr>
          <w:rFonts w:hint="eastAsia" w:ascii="宋体" w:hAnsi="宋体" w:eastAsia="宋体" w:cs="宋体"/>
          <w:sz w:val="24"/>
          <w:lang w:eastAsia="zh-CN"/>
        </w:rPr>
        <w:t>（</w:t>
      </w:r>
      <w:r>
        <w:rPr>
          <w:rFonts w:hint="eastAsia" w:cs="宋体"/>
          <w:sz w:val="24"/>
          <w:lang w:val="en-US" w:eastAsia="zh-CN"/>
        </w:rPr>
        <w:t>10</w:t>
      </w:r>
      <w:r>
        <w:rPr>
          <w:rFonts w:hint="eastAsia" w:ascii="宋体" w:hAnsi="宋体" w:eastAsia="宋体" w:cs="宋体"/>
          <w:sz w:val="24"/>
          <w:lang w:eastAsia="zh-CN"/>
        </w:rPr>
        <w:t>）</w:t>
      </w:r>
      <w:r>
        <w:rPr>
          <w:rFonts w:hint="eastAsia" w:ascii="宋体" w:hAnsi="宋体" w:eastAsia="宋体" w:cs="宋体"/>
          <w:sz w:val="24"/>
          <w:lang w:val="en-US" w:eastAsia="zh-CN"/>
        </w:rPr>
        <w:t>中小企业声明函</w:t>
      </w:r>
    </w:p>
    <w:p>
      <w:pPr>
        <w:spacing w:line="480" w:lineRule="exact"/>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3.1.</w:t>
      </w:r>
      <w:r>
        <w:rPr>
          <w:rFonts w:hint="eastAsia" w:ascii="宋体" w:hAnsi="宋体" w:eastAsia="宋体" w:cs="宋体"/>
          <w:b w:val="0"/>
          <w:bCs/>
          <w:sz w:val="24"/>
          <w:szCs w:val="24"/>
          <w:highlight w:val="none"/>
          <w:lang w:val="en-US" w:eastAsia="zh-CN"/>
        </w:rPr>
        <w:t>1</w:t>
      </w:r>
      <w:r>
        <w:rPr>
          <w:rFonts w:hint="eastAsia" w:ascii="宋体" w:hAnsi="宋体" w:eastAsia="宋体" w:cs="宋体"/>
          <w:b w:val="0"/>
          <w:bCs/>
          <w:sz w:val="24"/>
          <w:szCs w:val="24"/>
          <w:highlight w:val="none"/>
        </w:rPr>
        <w:t xml:space="preserve"> </w:t>
      </w:r>
      <w:r>
        <w:rPr>
          <w:rFonts w:hint="eastAsia" w:ascii="宋体" w:hAnsi="宋体" w:eastAsia="宋体" w:cs="宋体"/>
          <w:b w:val="0"/>
          <w:bCs/>
          <w:sz w:val="24"/>
          <w:szCs w:val="24"/>
          <w:highlight w:val="none"/>
          <w:lang w:eastAsia="zh-CN"/>
        </w:rPr>
        <w:t>供应商</w:t>
      </w:r>
      <w:r>
        <w:rPr>
          <w:rFonts w:hint="eastAsia" w:ascii="宋体" w:hAnsi="宋体" w:eastAsia="宋体" w:cs="宋体"/>
          <w:b w:val="0"/>
          <w:bCs/>
          <w:sz w:val="24"/>
          <w:szCs w:val="24"/>
          <w:highlight w:val="none"/>
        </w:rPr>
        <w:t>应使用</w:t>
      </w:r>
      <w:r>
        <w:rPr>
          <w:rFonts w:hint="eastAsia" w:ascii="宋体" w:hAnsi="宋体" w:eastAsia="宋体" w:cs="宋体"/>
          <w:b w:val="0"/>
          <w:bCs/>
          <w:sz w:val="24"/>
          <w:szCs w:val="24"/>
          <w:highlight w:val="none"/>
          <w:lang w:eastAsia="zh-CN"/>
        </w:rPr>
        <w:t>竞争性磋商</w:t>
      </w:r>
      <w:r>
        <w:rPr>
          <w:rFonts w:hint="eastAsia" w:ascii="宋体" w:hAnsi="宋体" w:eastAsia="宋体" w:cs="宋体"/>
          <w:b w:val="0"/>
          <w:bCs/>
          <w:sz w:val="24"/>
          <w:szCs w:val="24"/>
          <w:highlight w:val="none"/>
        </w:rPr>
        <w:t>提供的格式，但表格可以按同样格式扩展。</w:t>
      </w:r>
    </w:p>
    <w:p>
      <w:pPr>
        <w:spacing w:line="480" w:lineRule="exact"/>
        <w:ind w:firstLine="480" w:firstLineChars="200"/>
        <w:rPr>
          <w:rFonts w:hint="eastAsia" w:ascii="宋体" w:hAnsi="宋体" w:eastAsia="宋体" w:cs="宋体"/>
        </w:rPr>
      </w:pPr>
      <w:r>
        <w:rPr>
          <w:rFonts w:hint="eastAsia" w:ascii="宋体" w:hAnsi="宋体" w:eastAsia="宋体" w:cs="宋体"/>
          <w:b w:val="0"/>
          <w:bCs/>
          <w:sz w:val="24"/>
          <w:szCs w:val="24"/>
          <w:highlight w:val="none"/>
        </w:rPr>
        <w:t>3.1.</w:t>
      </w:r>
      <w:r>
        <w:rPr>
          <w:rFonts w:hint="eastAsia" w:ascii="宋体" w:hAnsi="宋体" w:eastAsia="宋体" w:cs="宋体"/>
          <w:b w:val="0"/>
          <w:bCs/>
          <w:sz w:val="24"/>
          <w:szCs w:val="24"/>
          <w:highlight w:val="none"/>
          <w:lang w:val="en-US" w:eastAsia="zh-CN"/>
        </w:rPr>
        <w:t>2</w:t>
      </w:r>
      <w:r>
        <w:rPr>
          <w:rFonts w:hint="eastAsia" w:ascii="宋体" w:hAnsi="宋体" w:eastAsia="宋体" w:cs="宋体"/>
          <w:b w:val="0"/>
          <w:bCs/>
          <w:sz w:val="24"/>
          <w:szCs w:val="24"/>
          <w:highlight w:val="none"/>
          <w:lang w:eastAsia="zh-CN"/>
        </w:rPr>
        <w:t>供应商</w:t>
      </w:r>
      <w:r>
        <w:rPr>
          <w:rFonts w:hint="eastAsia" w:ascii="宋体" w:hAnsi="宋体" w:eastAsia="宋体" w:cs="宋体"/>
          <w:b w:val="0"/>
          <w:bCs/>
          <w:sz w:val="24"/>
          <w:szCs w:val="24"/>
          <w:highlight w:val="none"/>
        </w:rPr>
        <w:t>应认真审阅</w:t>
      </w:r>
      <w:r>
        <w:rPr>
          <w:rFonts w:hint="eastAsia" w:ascii="宋体" w:hAnsi="宋体" w:eastAsia="宋体" w:cs="宋体"/>
          <w:b w:val="0"/>
          <w:bCs/>
          <w:sz w:val="24"/>
          <w:szCs w:val="24"/>
          <w:highlight w:val="none"/>
          <w:lang w:eastAsia="zh-CN"/>
        </w:rPr>
        <w:t>竞争性磋商</w:t>
      </w:r>
      <w:r>
        <w:rPr>
          <w:rFonts w:hint="eastAsia" w:ascii="宋体" w:hAnsi="宋体" w:eastAsia="宋体" w:cs="宋体"/>
          <w:b w:val="0"/>
          <w:bCs/>
          <w:sz w:val="24"/>
          <w:szCs w:val="24"/>
          <w:highlight w:val="none"/>
        </w:rPr>
        <w:t>中所有的</w:t>
      </w:r>
      <w:r>
        <w:rPr>
          <w:rFonts w:hint="eastAsia" w:ascii="宋体" w:hAnsi="宋体" w:eastAsia="宋体" w:cs="宋体"/>
          <w:b w:val="0"/>
          <w:bCs/>
          <w:sz w:val="24"/>
          <w:szCs w:val="24"/>
          <w:highlight w:val="none"/>
          <w:lang w:val="en-US" w:eastAsia="zh-CN"/>
        </w:rPr>
        <w:t>供应商</w:t>
      </w:r>
      <w:r>
        <w:rPr>
          <w:rFonts w:hint="eastAsia" w:ascii="宋体" w:hAnsi="宋体" w:eastAsia="宋体" w:cs="宋体"/>
          <w:b w:val="0"/>
          <w:bCs/>
          <w:sz w:val="24"/>
          <w:szCs w:val="24"/>
          <w:highlight w:val="none"/>
        </w:rPr>
        <w:t>须知、合同条款和规定格式。如果</w:t>
      </w:r>
      <w:r>
        <w:rPr>
          <w:rFonts w:hint="eastAsia" w:ascii="宋体" w:hAnsi="宋体" w:eastAsia="宋体" w:cs="宋体"/>
          <w:b w:val="0"/>
          <w:bCs/>
          <w:sz w:val="24"/>
          <w:szCs w:val="24"/>
          <w:highlight w:val="none"/>
          <w:lang w:eastAsia="zh-CN"/>
        </w:rPr>
        <w:t>供应商</w:t>
      </w:r>
      <w:r>
        <w:rPr>
          <w:rFonts w:hint="eastAsia" w:ascii="宋体" w:hAnsi="宋体" w:eastAsia="宋体" w:cs="宋体"/>
          <w:b w:val="0"/>
          <w:bCs/>
          <w:sz w:val="24"/>
          <w:szCs w:val="24"/>
          <w:highlight w:val="none"/>
        </w:rPr>
        <w:t>编制的</w:t>
      </w:r>
      <w:r>
        <w:rPr>
          <w:rFonts w:hint="eastAsia" w:ascii="宋体" w:hAnsi="宋体" w:eastAsia="宋体" w:cs="宋体"/>
          <w:b w:val="0"/>
          <w:bCs/>
          <w:sz w:val="24"/>
          <w:szCs w:val="24"/>
          <w:highlight w:val="none"/>
          <w:lang w:eastAsia="zh-CN"/>
        </w:rPr>
        <w:t>响应文件</w:t>
      </w:r>
      <w:r>
        <w:rPr>
          <w:rFonts w:hint="eastAsia" w:ascii="宋体" w:hAnsi="宋体" w:eastAsia="宋体" w:cs="宋体"/>
          <w:b w:val="0"/>
          <w:bCs/>
          <w:sz w:val="24"/>
          <w:szCs w:val="24"/>
          <w:highlight w:val="none"/>
        </w:rPr>
        <w:t>实质上不响应</w:t>
      </w:r>
      <w:r>
        <w:rPr>
          <w:rFonts w:hint="eastAsia" w:ascii="宋体" w:hAnsi="宋体" w:eastAsia="宋体" w:cs="宋体"/>
          <w:b w:val="0"/>
          <w:bCs/>
          <w:sz w:val="24"/>
          <w:szCs w:val="24"/>
          <w:highlight w:val="none"/>
          <w:lang w:eastAsia="zh-CN"/>
        </w:rPr>
        <w:t>竞争性磋商</w:t>
      </w:r>
      <w:r>
        <w:rPr>
          <w:rFonts w:hint="eastAsia" w:ascii="宋体" w:hAnsi="宋体" w:eastAsia="宋体" w:cs="宋体"/>
          <w:b w:val="0"/>
          <w:bCs/>
          <w:sz w:val="24"/>
          <w:szCs w:val="24"/>
          <w:highlight w:val="none"/>
        </w:rPr>
        <w:t>要求，其</w:t>
      </w:r>
      <w:r>
        <w:rPr>
          <w:rFonts w:hint="eastAsia" w:ascii="宋体" w:hAnsi="宋体" w:eastAsia="宋体" w:cs="宋体"/>
          <w:b w:val="0"/>
          <w:bCs/>
          <w:sz w:val="24"/>
          <w:szCs w:val="24"/>
          <w:highlight w:val="none"/>
          <w:lang w:eastAsia="zh-CN"/>
        </w:rPr>
        <w:t>响应文件</w:t>
      </w:r>
      <w:r>
        <w:rPr>
          <w:rFonts w:hint="eastAsia" w:ascii="宋体" w:hAnsi="宋体" w:eastAsia="宋体" w:cs="宋体"/>
          <w:b w:val="0"/>
          <w:bCs/>
          <w:sz w:val="24"/>
          <w:szCs w:val="24"/>
          <w:highlight w:val="none"/>
        </w:rPr>
        <w:t>将被拒绝。</w:t>
      </w:r>
    </w:p>
    <w:p>
      <w:pPr>
        <w:spacing w:line="500" w:lineRule="exact"/>
        <w:ind w:left="0" w:leftChars="0" w:firstLine="0" w:firstLineChars="0"/>
        <w:rPr>
          <w:rFonts w:hint="eastAsia" w:ascii="宋体" w:hAnsi="宋体" w:eastAsia="宋体" w:cs="宋体"/>
          <w:b/>
          <w:bCs/>
          <w:sz w:val="24"/>
        </w:rPr>
      </w:pPr>
      <w:r>
        <w:rPr>
          <w:rFonts w:hint="eastAsia" w:ascii="宋体" w:hAnsi="宋体" w:eastAsia="宋体" w:cs="宋体"/>
          <w:b/>
          <w:bCs/>
          <w:sz w:val="24"/>
        </w:rPr>
        <w:t>3.2 构成响应文件的其他材料</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3.2.1 按照磋商小组要求递交的澄清、补充、修改及说明。</w:t>
      </w:r>
    </w:p>
    <w:p>
      <w:pPr>
        <w:spacing w:line="500" w:lineRule="exact"/>
        <w:ind w:left="0" w:leftChars="0" w:firstLine="0" w:firstLineChars="0"/>
        <w:rPr>
          <w:rFonts w:hint="eastAsia" w:ascii="宋体" w:hAnsi="宋体" w:eastAsia="宋体" w:cs="宋体"/>
          <w:b/>
          <w:bCs/>
          <w:sz w:val="24"/>
        </w:rPr>
      </w:pPr>
      <w:r>
        <w:rPr>
          <w:rFonts w:hint="eastAsia" w:ascii="宋体" w:hAnsi="宋体" w:eastAsia="宋体" w:cs="宋体"/>
          <w:b/>
          <w:bCs/>
          <w:sz w:val="24"/>
        </w:rPr>
        <w:t>3.3响应文件报价要求</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3.3.1供应商应按照竞争性磋商文件的具体要求编写响应文件，并对其提交的响应文件的真实性、合法性承担法律责任。</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3.3.2供应商应对竞争性磋商文件内所要采购的全部内容进行报价，只投其中部分内容者，则响应文件无效；报价内容只允许填一个报价，采购人不接受任何有选择性的报价。</w:t>
      </w:r>
    </w:p>
    <w:p>
      <w:pPr>
        <w:spacing w:line="500" w:lineRule="exact"/>
        <w:ind w:firstLine="410" w:firstLineChars="171"/>
        <w:rPr>
          <w:rFonts w:hint="eastAsia" w:ascii="宋体" w:hAnsi="宋体" w:eastAsia="宋体" w:cs="宋体"/>
          <w:sz w:val="24"/>
          <w:highlight w:val="none"/>
        </w:rPr>
      </w:pPr>
      <w:r>
        <w:rPr>
          <w:rFonts w:hint="eastAsia" w:ascii="宋体" w:hAnsi="宋体" w:eastAsia="宋体" w:cs="宋体"/>
          <w:sz w:val="24"/>
          <w:highlight w:val="none"/>
          <w:lang w:val="en-US" w:eastAsia="zh-CN"/>
        </w:rPr>
        <w:t>3.3.3</w:t>
      </w:r>
      <w:r>
        <w:rPr>
          <w:rFonts w:hint="eastAsia" w:cs="宋体"/>
          <w:sz w:val="24"/>
          <w:highlight w:val="none"/>
          <w:lang w:eastAsia="zh-CN"/>
        </w:rPr>
        <w:t>供应商</w:t>
      </w:r>
      <w:r>
        <w:rPr>
          <w:rFonts w:hint="eastAsia" w:ascii="宋体" w:hAnsi="宋体" w:eastAsia="宋体" w:cs="宋体"/>
          <w:sz w:val="24"/>
          <w:highlight w:val="none"/>
        </w:rPr>
        <w:t>应结合本单位及本</w:t>
      </w:r>
      <w:r>
        <w:rPr>
          <w:rFonts w:hint="eastAsia" w:cs="宋体"/>
          <w:sz w:val="24"/>
          <w:highlight w:val="none"/>
          <w:lang w:val="en-US" w:eastAsia="zh-CN"/>
        </w:rPr>
        <w:t>项目</w:t>
      </w:r>
      <w:r>
        <w:rPr>
          <w:rFonts w:hint="eastAsia" w:ascii="宋体" w:hAnsi="宋体" w:eastAsia="宋体" w:cs="宋体"/>
          <w:sz w:val="24"/>
          <w:highlight w:val="none"/>
        </w:rPr>
        <w:t>的实际情况，充分考虑市场因素，确定完成本</w:t>
      </w:r>
      <w:r>
        <w:rPr>
          <w:rFonts w:hint="eastAsia" w:cs="宋体"/>
          <w:sz w:val="24"/>
          <w:highlight w:val="none"/>
          <w:lang w:val="en-US" w:eastAsia="zh-CN"/>
        </w:rPr>
        <w:t>项目</w:t>
      </w:r>
      <w:r>
        <w:rPr>
          <w:rFonts w:hint="eastAsia" w:ascii="宋体" w:hAnsi="宋体" w:eastAsia="宋体" w:cs="宋体"/>
          <w:sz w:val="24"/>
          <w:highlight w:val="none"/>
        </w:rPr>
        <w:t>的全部费用。</w:t>
      </w:r>
    </w:p>
    <w:p>
      <w:pPr>
        <w:spacing w:line="500" w:lineRule="exact"/>
        <w:ind w:firstLine="410" w:firstLineChars="171"/>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3.3.4</w:t>
      </w:r>
      <w:r>
        <w:rPr>
          <w:rFonts w:hint="eastAsia" w:ascii="宋体" w:hAnsi="宋体" w:eastAsia="宋体" w:cs="宋体"/>
          <w:sz w:val="24"/>
          <w:highlight w:val="none"/>
        </w:rPr>
        <w:t>本项目服务费用报价是完成本项目所产生的所有费用（包括但不限于：服务费、人工费、差旅费、加班费、利润、不可预见费及完成服务内容所需的一切费用）</w:t>
      </w:r>
      <w:r>
        <w:rPr>
          <w:rFonts w:hint="eastAsia" w:cs="宋体"/>
          <w:sz w:val="24"/>
          <w:highlight w:val="none"/>
          <w:lang w:eastAsia="zh-CN"/>
        </w:rPr>
        <w:t>，</w:t>
      </w:r>
      <w:r>
        <w:rPr>
          <w:rFonts w:hint="eastAsia" w:cs="宋体"/>
          <w:sz w:val="24"/>
          <w:highlight w:val="none"/>
          <w:lang w:val="en-US" w:eastAsia="zh-CN"/>
        </w:rPr>
        <w:t>。供应商根据本企业成本、利润、风险等因素自主报价。凡供应商在报价中未列明但又为货物所必备的项目或遗漏项目，采购单位将一律视为已包括在其报价中，在合同执行中将不予考虑。</w:t>
      </w:r>
    </w:p>
    <w:p>
      <w:pPr>
        <w:spacing w:line="500" w:lineRule="exact"/>
        <w:ind w:left="0" w:leftChars="0" w:firstLine="0" w:firstLineChars="0"/>
        <w:rPr>
          <w:rFonts w:hint="eastAsia" w:ascii="宋体" w:hAnsi="宋体" w:eastAsia="宋体" w:cs="宋体"/>
          <w:b/>
          <w:bCs/>
          <w:sz w:val="24"/>
        </w:rPr>
      </w:pPr>
      <w:r>
        <w:rPr>
          <w:rFonts w:hint="eastAsia" w:ascii="宋体" w:hAnsi="宋体" w:eastAsia="宋体" w:cs="宋体"/>
          <w:b/>
          <w:bCs/>
          <w:sz w:val="24"/>
        </w:rPr>
        <w:t>3.4竞争性磋商文件有效期</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4</w:t>
      </w:r>
      <w:r>
        <w:rPr>
          <w:rFonts w:hint="eastAsia" w:ascii="宋体" w:hAnsi="宋体" w:eastAsia="宋体" w:cs="宋体"/>
          <w:sz w:val="24"/>
        </w:rPr>
        <w:t>.1 在</w:t>
      </w:r>
      <w:r>
        <w:rPr>
          <w:rFonts w:hint="eastAsia" w:ascii="宋体" w:hAnsi="宋体" w:eastAsia="宋体" w:cs="宋体"/>
          <w:sz w:val="24"/>
          <w:lang w:eastAsia="zh-CN"/>
        </w:rPr>
        <w:t>供应商</w:t>
      </w:r>
      <w:r>
        <w:rPr>
          <w:rFonts w:hint="eastAsia" w:ascii="宋体" w:hAnsi="宋体" w:eastAsia="宋体" w:cs="宋体"/>
          <w:sz w:val="24"/>
        </w:rPr>
        <w:t>须知前附表规定的投标有效期内，</w:t>
      </w:r>
      <w:r>
        <w:rPr>
          <w:rFonts w:hint="eastAsia" w:ascii="宋体" w:hAnsi="宋体" w:eastAsia="宋体" w:cs="宋体"/>
          <w:sz w:val="24"/>
          <w:lang w:eastAsia="zh-CN"/>
        </w:rPr>
        <w:t>供应商</w:t>
      </w:r>
      <w:r>
        <w:rPr>
          <w:rFonts w:hint="eastAsia" w:ascii="宋体" w:hAnsi="宋体" w:eastAsia="宋体" w:cs="宋体"/>
          <w:sz w:val="24"/>
        </w:rPr>
        <w:t>不得要求撤销或修改其</w:t>
      </w:r>
      <w:r>
        <w:rPr>
          <w:rFonts w:hint="eastAsia" w:ascii="宋体" w:hAnsi="宋体" w:eastAsia="宋体" w:cs="宋体"/>
          <w:sz w:val="24"/>
          <w:lang w:eastAsia="zh-CN"/>
        </w:rPr>
        <w:t>响应文件</w:t>
      </w:r>
      <w:r>
        <w:rPr>
          <w:rFonts w:hint="eastAsia" w:ascii="宋体" w:hAnsi="宋体" w:eastAsia="宋体" w:cs="宋体"/>
          <w:sz w:val="24"/>
        </w:rPr>
        <w:t>。</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4</w:t>
      </w:r>
      <w:r>
        <w:rPr>
          <w:rFonts w:hint="eastAsia" w:ascii="宋体" w:hAnsi="宋体" w:eastAsia="宋体" w:cs="宋体"/>
          <w:sz w:val="24"/>
        </w:rPr>
        <w:t>.2出现特殊情况需要延长</w:t>
      </w:r>
      <w:r>
        <w:rPr>
          <w:rFonts w:hint="eastAsia" w:ascii="宋体" w:hAnsi="宋体" w:eastAsia="宋体" w:cs="宋体"/>
          <w:sz w:val="24"/>
          <w:lang w:eastAsia="zh-CN"/>
        </w:rPr>
        <w:t>报价文件</w:t>
      </w:r>
      <w:r>
        <w:rPr>
          <w:rFonts w:hint="eastAsia" w:ascii="宋体" w:hAnsi="宋体" w:eastAsia="宋体" w:cs="宋体"/>
          <w:sz w:val="24"/>
        </w:rPr>
        <w:t>有效期的，采购人以书面形式通知所有供应商延长有效期。供应商同意延长的，不得要求或被允许修改或撤销其</w:t>
      </w:r>
      <w:r>
        <w:rPr>
          <w:rFonts w:hint="eastAsia" w:ascii="宋体" w:hAnsi="宋体" w:eastAsia="宋体" w:cs="宋体"/>
          <w:sz w:val="24"/>
          <w:lang w:eastAsia="zh-CN"/>
        </w:rPr>
        <w:t>报价文件</w:t>
      </w:r>
      <w:r>
        <w:rPr>
          <w:rFonts w:hint="eastAsia" w:ascii="宋体" w:hAnsi="宋体" w:eastAsia="宋体" w:cs="宋体"/>
          <w:sz w:val="24"/>
        </w:rPr>
        <w:t>；供应商拒绝延长的，其</w:t>
      </w:r>
      <w:r>
        <w:rPr>
          <w:rFonts w:hint="eastAsia" w:ascii="宋体" w:hAnsi="宋体" w:eastAsia="宋体" w:cs="宋体"/>
          <w:sz w:val="24"/>
          <w:lang w:eastAsia="zh-CN"/>
        </w:rPr>
        <w:t>报价文件</w:t>
      </w:r>
      <w:r>
        <w:rPr>
          <w:rFonts w:hint="eastAsia" w:ascii="宋体" w:hAnsi="宋体" w:eastAsia="宋体" w:cs="宋体"/>
          <w:sz w:val="24"/>
        </w:rPr>
        <w:t>失效。</w:t>
      </w:r>
    </w:p>
    <w:p>
      <w:pPr>
        <w:spacing w:line="500" w:lineRule="exact"/>
        <w:ind w:left="0" w:leftChars="0" w:firstLine="0" w:firstLineChars="0"/>
        <w:rPr>
          <w:rFonts w:hint="eastAsia" w:ascii="宋体" w:hAnsi="宋体" w:eastAsia="宋体" w:cs="宋体"/>
          <w:b/>
          <w:bCs/>
          <w:sz w:val="24"/>
        </w:rPr>
      </w:pPr>
      <w:r>
        <w:rPr>
          <w:rFonts w:hint="eastAsia" w:ascii="宋体" w:hAnsi="宋体" w:eastAsia="宋体" w:cs="宋体"/>
          <w:b/>
          <w:bCs/>
          <w:sz w:val="24"/>
        </w:rPr>
        <w:t>3.5 资格审查资料</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szCs w:val="24"/>
          <w:lang w:val="en-US" w:eastAsia="zh-CN"/>
        </w:rPr>
        <w:t>供应商</w:t>
      </w:r>
      <w:r>
        <w:rPr>
          <w:rFonts w:hint="eastAsia" w:ascii="宋体" w:hAnsi="宋体" w:eastAsia="宋体" w:cs="宋体"/>
          <w:sz w:val="24"/>
          <w:szCs w:val="24"/>
        </w:rPr>
        <w:t>在编制</w:t>
      </w:r>
      <w:r>
        <w:rPr>
          <w:rFonts w:hint="eastAsia" w:ascii="宋体" w:hAnsi="宋体" w:eastAsia="宋体" w:cs="宋体"/>
          <w:sz w:val="24"/>
          <w:szCs w:val="24"/>
          <w:lang w:val="en-US" w:eastAsia="zh-CN"/>
        </w:rPr>
        <w:t>响应</w:t>
      </w:r>
      <w:r>
        <w:rPr>
          <w:rFonts w:hint="eastAsia" w:ascii="宋体" w:hAnsi="宋体" w:eastAsia="宋体" w:cs="宋体"/>
          <w:sz w:val="24"/>
          <w:szCs w:val="24"/>
        </w:rPr>
        <w:t>文件时，应按</w:t>
      </w:r>
      <w:r>
        <w:rPr>
          <w:rFonts w:hint="eastAsia" w:ascii="宋体" w:hAnsi="宋体" w:eastAsia="宋体" w:cs="宋体"/>
          <w:sz w:val="24"/>
          <w:szCs w:val="24"/>
          <w:lang w:val="en-US" w:eastAsia="zh-CN"/>
        </w:rPr>
        <w:t>磋商</w:t>
      </w:r>
      <w:r>
        <w:rPr>
          <w:rFonts w:hint="eastAsia" w:ascii="宋体" w:hAnsi="宋体" w:eastAsia="宋体" w:cs="宋体"/>
          <w:sz w:val="24"/>
          <w:szCs w:val="24"/>
        </w:rPr>
        <w:t>文件要求提供相关资料，以证实其各项资格条件满足本要求，具备完成本项目的施工能力。在</w:t>
      </w:r>
      <w:r>
        <w:rPr>
          <w:rFonts w:hint="eastAsia" w:ascii="宋体" w:hAnsi="宋体" w:eastAsia="宋体" w:cs="宋体"/>
          <w:sz w:val="24"/>
          <w:szCs w:val="24"/>
          <w:lang w:val="en-US" w:eastAsia="zh-CN"/>
        </w:rPr>
        <w:t>磋商</w:t>
      </w:r>
      <w:r>
        <w:rPr>
          <w:rFonts w:hint="eastAsia" w:ascii="宋体" w:hAnsi="宋体" w:eastAsia="宋体" w:cs="宋体"/>
          <w:sz w:val="24"/>
          <w:szCs w:val="24"/>
        </w:rPr>
        <w:t>过程中，</w:t>
      </w:r>
      <w:r>
        <w:rPr>
          <w:rFonts w:hint="eastAsia" w:ascii="宋体" w:hAnsi="宋体" w:eastAsia="宋体" w:cs="宋体"/>
          <w:sz w:val="24"/>
          <w:szCs w:val="24"/>
          <w:lang w:val="en-US" w:eastAsia="zh-CN"/>
        </w:rPr>
        <w:t>供应商</w:t>
      </w:r>
      <w:r>
        <w:rPr>
          <w:rFonts w:hint="eastAsia" w:ascii="宋体" w:hAnsi="宋体" w:eastAsia="宋体" w:cs="宋体"/>
          <w:sz w:val="24"/>
          <w:szCs w:val="24"/>
        </w:rPr>
        <w:t>名称发生变更的，必须提供企业所在地工商行政管理部门出具的相关证明，否则其</w:t>
      </w:r>
      <w:r>
        <w:rPr>
          <w:rFonts w:hint="eastAsia" w:ascii="宋体" w:hAnsi="宋体" w:eastAsia="宋体" w:cs="宋体"/>
          <w:sz w:val="24"/>
          <w:szCs w:val="24"/>
          <w:lang w:val="en-US" w:eastAsia="zh-CN"/>
        </w:rPr>
        <w:t>响应</w:t>
      </w:r>
      <w:r>
        <w:rPr>
          <w:rFonts w:hint="eastAsia" w:ascii="宋体" w:hAnsi="宋体" w:eastAsia="宋体" w:cs="宋体"/>
          <w:sz w:val="24"/>
          <w:szCs w:val="24"/>
        </w:rPr>
        <w:t>文件将被拒绝</w:t>
      </w:r>
      <w:r>
        <w:rPr>
          <w:rFonts w:hint="eastAsia" w:ascii="宋体" w:hAnsi="宋体" w:eastAsia="宋体" w:cs="宋体"/>
          <w:sz w:val="24"/>
        </w:rPr>
        <w:t>。</w:t>
      </w:r>
    </w:p>
    <w:p>
      <w:pPr>
        <w:spacing w:line="500" w:lineRule="exact"/>
        <w:ind w:left="0" w:leftChars="0" w:firstLine="0" w:firstLineChars="0"/>
        <w:rPr>
          <w:rFonts w:hint="eastAsia" w:ascii="宋体" w:hAnsi="宋体" w:eastAsia="宋体" w:cs="宋体"/>
          <w:b/>
          <w:bCs/>
          <w:sz w:val="24"/>
        </w:rPr>
      </w:pPr>
      <w:r>
        <w:rPr>
          <w:rFonts w:hint="eastAsia" w:ascii="宋体" w:hAnsi="宋体" w:eastAsia="宋体" w:cs="宋体"/>
          <w:b/>
          <w:bCs/>
          <w:sz w:val="24"/>
        </w:rPr>
        <w:t>3.6响应文件的编制</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3.6.1响应文件应按第六章“响应文件格式”进行编写，如有必要，可以增加附页，作为响应文件的组成部分。</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3.6.2响应文件应当对竞争性磋商文件有关期限、</w:t>
      </w:r>
      <w:r>
        <w:rPr>
          <w:rFonts w:hint="eastAsia" w:cs="宋体"/>
          <w:sz w:val="24"/>
          <w:lang w:val="en-US" w:eastAsia="zh-CN"/>
        </w:rPr>
        <w:t>服务</w:t>
      </w:r>
      <w:r>
        <w:rPr>
          <w:rFonts w:hint="eastAsia" w:ascii="宋体" w:hAnsi="宋体" w:eastAsia="宋体" w:cs="宋体"/>
          <w:sz w:val="24"/>
        </w:rPr>
        <w:t>要求、</w:t>
      </w:r>
      <w:r>
        <w:rPr>
          <w:rFonts w:hint="eastAsia" w:cs="宋体"/>
          <w:sz w:val="24"/>
          <w:lang w:val="en-US" w:eastAsia="zh-CN"/>
        </w:rPr>
        <w:t>服务</w:t>
      </w:r>
      <w:r>
        <w:rPr>
          <w:rFonts w:hint="eastAsia" w:ascii="宋体" w:hAnsi="宋体" w:eastAsia="宋体" w:cs="宋体"/>
          <w:sz w:val="24"/>
        </w:rPr>
        <w:t>内容等实质性内容作出响应。</w:t>
      </w:r>
    </w:p>
    <w:p>
      <w:pPr>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3.6.3 </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应由法定代表人或其授权委托人签字或盖章并加盖</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单位公章</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签字或盖章的具体要求见</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 xml:space="preserve">须知前附表。 </w:t>
      </w:r>
    </w:p>
    <w:p>
      <w:pPr>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3.6.4 电子</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应按照统一的“电子</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制作工具”以及</w:t>
      </w:r>
      <w:r>
        <w:rPr>
          <w:rFonts w:hint="eastAsia" w:cs="宋体"/>
          <w:sz w:val="24"/>
          <w:szCs w:val="24"/>
          <w:highlight w:val="none"/>
          <w:lang w:val="en-US" w:eastAsia="zh-CN"/>
        </w:rPr>
        <w:t>磋商</w:t>
      </w:r>
      <w:r>
        <w:rPr>
          <w:rFonts w:hint="eastAsia" w:ascii="宋体" w:hAnsi="宋体" w:eastAsia="宋体" w:cs="宋体"/>
          <w:sz w:val="24"/>
          <w:szCs w:val="24"/>
          <w:highlight w:val="none"/>
        </w:rPr>
        <w:t xml:space="preserve">文件要求进行制作编制。 </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制作时，应按照</w:t>
      </w:r>
      <w:r>
        <w:rPr>
          <w:rFonts w:hint="eastAsia" w:cs="宋体"/>
          <w:sz w:val="24"/>
          <w:szCs w:val="24"/>
          <w:highlight w:val="none"/>
          <w:lang w:val="en-US" w:eastAsia="zh-CN"/>
        </w:rPr>
        <w:t>磋商</w:t>
      </w:r>
      <w:r>
        <w:rPr>
          <w:rFonts w:hint="eastAsia" w:ascii="宋体" w:hAnsi="宋体" w:eastAsia="宋体" w:cs="宋体"/>
          <w:sz w:val="24"/>
          <w:szCs w:val="24"/>
          <w:highlight w:val="none"/>
        </w:rPr>
        <w:t>文件中明确的</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目录和格式进行编制，保证目录清晰、内容完整，不同内容按标签提示导入。</w:t>
      </w:r>
    </w:p>
    <w:p>
      <w:pPr>
        <w:spacing w:line="480" w:lineRule="exact"/>
        <w:ind w:firstLine="480" w:firstLineChars="200"/>
        <w:rPr>
          <w:rFonts w:hint="eastAsia"/>
        </w:rPr>
      </w:pPr>
      <w:r>
        <w:rPr>
          <w:rFonts w:hint="eastAsia" w:ascii="宋体" w:hAnsi="宋体" w:eastAsia="宋体" w:cs="宋体"/>
          <w:sz w:val="24"/>
          <w:szCs w:val="24"/>
          <w:highlight w:val="none"/>
          <w:lang w:val="en-US" w:eastAsia="zh-CN"/>
        </w:rPr>
        <w:t>3.6.5</w:t>
      </w:r>
      <w:r>
        <w:rPr>
          <w:rFonts w:hint="eastAsia" w:ascii="宋体" w:hAnsi="宋体" w:eastAsia="宋体" w:cs="宋体"/>
          <w:sz w:val="24"/>
          <w:szCs w:val="24"/>
          <w:highlight w:val="none"/>
        </w:rPr>
        <w:t>电子</w:t>
      </w:r>
      <w:r>
        <w:rPr>
          <w:rFonts w:hint="eastAsia" w:cs="宋体"/>
          <w:sz w:val="24"/>
          <w:szCs w:val="24"/>
          <w:highlight w:val="none"/>
          <w:lang w:val="en-US" w:eastAsia="zh-CN"/>
        </w:rPr>
        <w:t>磋商</w:t>
      </w:r>
      <w:r>
        <w:rPr>
          <w:rFonts w:hint="eastAsia" w:ascii="宋体" w:hAnsi="宋体" w:eastAsia="宋体" w:cs="宋体"/>
          <w:sz w:val="24"/>
          <w:szCs w:val="24"/>
          <w:highlight w:val="none"/>
        </w:rPr>
        <w:t>文件、电子</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具有法律效力，与其他形式的</w:t>
      </w:r>
      <w:r>
        <w:rPr>
          <w:rFonts w:hint="eastAsia" w:cs="宋体"/>
          <w:sz w:val="24"/>
          <w:szCs w:val="24"/>
          <w:highlight w:val="none"/>
          <w:lang w:val="en-US" w:eastAsia="zh-CN"/>
        </w:rPr>
        <w:t>磋商</w:t>
      </w:r>
      <w:r>
        <w:rPr>
          <w:rFonts w:hint="eastAsia" w:ascii="宋体" w:hAnsi="宋体" w:eastAsia="宋体" w:cs="宋体"/>
          <w:sz w:val="24"/>
          <w:szCs w:val="24"/>
          <w:highlight w:val="none"/>
        </w:rPr>
        <w:t>文件、</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在内容和格式上等同，若</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与</w:t>
      </w:r>
      <w:r>
        <w:rPr>
          <w:rFonts w:hint="eastAsia" w:cs="宋体"/>
          <w:sz w:val="24"/>
          <w:szCs w:val="24"/>
          <w:highlight w:val="none"/>
          <w:lang w:val="en-US" w:eastAsia="zh-CN"/>
        </w:rPr>
        <w:t>磋商</w:t>
      </w:r>
      <w:r>
        <w:rPr>
          <w:rFonts w:hint="eastAsia" w:ascii="宋体" w:hAnsi="宋体" w:eastAsia="宋体" w:cs="宋体"/>
          <w:sz w:val="24"/>
          <w:szCs w:val="24"/>
          <w:highlight w:val="none"/>
        </w:rPr>
        <w:t>文件要求不一致，其内容影响中标结果时，责任由</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 xml:space="preserve">自行承担。 </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递交的电子</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因</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自身原因而导致无法导入电子辅助评标系统的，该</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视为无效</w:t>
      </w:r>
      <w:r>
        <w:rPr>
          <w:rFonts w:hint="eastAsia" w:ascii="宋体" w:hAnsi="宋体" w:eastAsia="宋体" w:cs="宋体"/>
          <w:sz w:val="24"/>
          <w:szCs w:val="24"/>
          <w:highlight w:val="none"/>
          <w:lang w:eastAsia="zh-CN"/>
        </w:rPr>
        <w:t>响应文件。</w:t>
      </w:r>
    </w:p>
    <w:p>
      <w:pPr>
        <w:pStyle w:val="4"/>
        <w:spacing w:line="500" w:lineRule="exact"/>
        <w:ind w:left="0" w:leftChars="0" w:firstLine="0" w:firstLineChars="0"/>
        <w:rPr>
          <w:rFonts w:hint="eastAsia" w:ascii="宋体" w:hAnsi="宋体" w:eastAsia="宋体" w:cs="宋体"/>
          <w:sz w:val="24"/>
          <w:szCs w:val="24"/>
        </w:rPr>
      </w:pPr>
      <w:bookmarkStart w:id="17" w:name="_Toc2428"/>
      <w:bookmarkStart w:id="18" w:name="_Toc414539106"/>
      <w:r>
        <w:rPr>
          <w:rFonts w:hint="eastAsia" w:ascii="宋体" w:hAnsi="宋体" w:eastAsia="宋体" w:cs="宋体"/>
          <w:sz w:val="24"/>
          <w:szCs w:val="24"/>
        </w:rPr>
        <w:t>4.</w:t>
      </w:r>
      <w:bookmarkEnd w:id="17"/>
      <w:bookmarkEnd w:id="18"/>
      <w:r>
        <w:rPr>
          <w:rFonts w:hint="eastAsia" w:ascii="宋体" w:hAnsi="宋体" w:eastAsia="宋体" w:cs="宋体"/>
          <w:sz w:val="24"/>
          <w:szCs w:val="24"/>
        </w:rPr>
        <w:t>响应文件的递交</w:t>
      </w:r>
    </w:p>
    <w:p>
      <w:pPr>
        <w:spacing w:line="500" w:lineRule="exact"/>
        <w:ind w:left="0" w:leftChars="0" w:firstLine="0" w:firstLineChars="0"/>
        <w:rPr>
          <w:rFonts w:hint="eastAsia" w:ascii="宋体" w:hAnsi="宋体" w:eastAsia="宋体" w:cs="宋体"/>
          <w:b/>
          <w:bCs/>
          <w:sz w:val="24"/>
        </w:rPr>
      </w:pPr>
      <w:r>
        <w:rPr>
          <w:rFonts w:hint="eastAsia" w:ascii="宋体" w:hAnsi="宋体" w:eastAsia="宋体" w:cs="宋体"/>
          <w:b/>
          <w:bCs/>
          <w:sz w:val="24"/>
        </w:rPr>
        <w:t>4.1响应文件的递交截止时间及地点</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4.1.1供应商递交响应文件的截止时间：见供应商须知前附表。</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4.1.2 供应商递交响应文件的地点：见供应商须知前附表。</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4.1.3供应商所递交的响应文件不予退还。</w:t>
      </w:r>
    </w:p>
    <w:p>
      <w:pPr>
        <w:spacing w:line="500" w:lineRule="exact"/>
        <w:ind w:firstLine="410" w:firstLineChars="171"/>
        <w:rPr>
          <w:rFonts w:hint="eastAsia" w:ascii="宋体" w:hAnsi="宋体" w:eastAsia="宋体" w:cs="宋体"/>
          <w:bCs/>
          <w:sz w:val="24"/>
        </w:rPr>
      </w:pPr>
      <w:r>
        <w:rPr>
          <w:rFonts w:hint="eastAsia" w:ascii="宋体" w:hAnsi="宋体" w:eastAsia="宋体" w:cs="宋体"/>
          <w:bCs/>
          <w:sz w:val="24"/>
        </w:rPr>
        <w:t>4.1.4逾期送达的或者未送达指定地点的响应文件，代理机构不予受理。</w:t>
      </w:r>
    </w:p>
    <w:p>
      <w:pPr>
        <w:spacing w:line="500" w:lineRule="exact"/>
        <w:ind w:left="0" w:leftChars="0" w:firstLine="0" w:firstLineChars="0"/>
        <w:rPr>
          <w:rFonts w:hint="eastAsia" w:ascii="宋体" w:hAnsi="宋体" w:eastAsia="宋体" w:cs="宋体"/>
          <w:b/>
          <w:bCs/>
          <w:sz w:val="24"/>
        </w:rPr>
      </w:pPr>
      <w:r>
        <w:rPr>
          <w:rFonts w:hint="eastAsia" w:ascii="宋体" w:hAnsi="宋体" w:eastAsia="宋体" w:cs="宋体"/>
          <w:b/>
          <w:bCs/>
          <w:sz w:val="24"/>
        </w:rPr>
        <w:t>4.2响应文件的修改与撤回</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val="en-US" w:eastAsia="zh-CN"/>
        </w:rPr>
        <w:t>2</w:t>
      </w:r>
      <w:r>
        <w:rPr>
          <w:rFonts w:hint="eastAsia" w:ascii="宋体" w:hAnsi="宋体" w:eastAsia="宋体" w:cs="宋体"/>
          <w:sz w:val="24"/>
        </w:rPr>
        <w:t>.1 在</w:t>
      </w:r>
      <w:r>
        <w:rPr>
          <w:rFonts w:hint="eastAsia" w:ascii="宋体" w:hAnsi="宋体" w:eastAsia="宋体" w:cs="宋体"/>
          <w:sz w:val="24"/>
          <w:lang w:eastAsia="zh-CN"/>
        </w:rPr>
        <w:t>供应商</w:t>
      </w:r>
      <w:r>
        <w:rPr>
          <w:rFonts w:hint="eastAsia" w:ascii="宋体" w:hAnsi="宋体" w:eastAsia="宋体" w:cs="宋体"/>
          <w:sz w:val="24"/>
        </w:rPr>
        <w:t>须知前附表规定的投标截止时间前，</w:t>
      </w:r>
      <w:r>
        <w:rPr>
          <w:rFonts w:hint="eastAsia" w:ascii="宋体" w:hAnsi="宋体" w:eastAsia="宋体" w:cs="宋体"/>
          <w:sz w:val="24"/>
          <w:lang w:eastAsia="zh-CN"/>
        </w:rPr>
        <w:t>供应商</w:t>
      </w:r>
      <w:r>
        <w:rPr>
          <w:rFonts w:hint="eastAsia" w:ascii="宋体" w:hAnsi="宋体" w:eastAsia="宋体" w:cs="宋体"/>
          <w:sz w:val="24"/>
        </w:rPr>
        <w:t>可以修改或撤回已递交的</w:t>
      </w:r>
      <w:r>
        <w:rPr>
          <w:rFonts w:hint="eastAsia" w:ascii="宋体" w:hAnsi="宋体" w:eastAsia="宋体" w:cs="宋体"/>
          <w:sz w:val="24"/>
          <w:lang w:eastAsia="zh-CN"/>
        </w:rPr>
        <w:t>响应文件</w:t>
      </w:r>
      <w:r>
        <w:rPr>
          <w:rFonts w:hint="eastAsia" w:ascii="宋体" w:hAnsi="宋体" w:eastAsia="宋体" w:cs="宋体"/>
          <w:sz w:val="24"/>
        </w:rPr>
        <w:t>。</w:t>
      </w:r>
    </w:p>
    <w:p>
      <w:pPr>
        <w:spacing w:line="500" w:lineRule="exact"/>
        <w:ind w:firstLine="410" w:firstLineChars="171"/>
        <w:rPr>
          <w:rFonts w:hint="eastAsia" w:ascii="宋体" w:hAnsi="宋体" w:eastAsia="宋体" w:cs="宋体"/>
        </w:rPr>
      </w:pPr>
      <w:r>
        <w:rPr>
          <w:rFonts w:hint="eastAsia" w:ascii="宋体" w:hAnsi="宋体" w:eastAsia="宋体" w:cs="宋体"/>
          <w:sz w:val="24"/>
        </w:rPr>
        <w:t>4.</w:t>
      </w:r>
      <w:r>
        <w:rPr>
          <w:rFonts w:hint="eastAsia" w:ascii="宋体" w:hAnsi="宋体" w:eastAsia="宋体" w:cs="宋体"/>
          <w:sz w:val="24"/>
          <w:lang w:val="en-US" w:eastAsia="zh-CN"/>
        </w:rPr>
        <w:t>2</w:t>
      </w: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 xml:space="preserve"> 响应文件的修改与撤回</w:t>
      </w:r>
      <w:r>
        <w:rPr>
          <w:rFonts w:hint="eastAsia" w:ascii="宋体" w:hAnsi="宋体" w:eastAsia="宋体" w:cs="宋体"/>
          <w:sz w:val="24"/>
          <w:lang w:val="en-US" w:eastAsia="zh-CN"/>
        </w:rPr>
        <w:t>按照赢标电子招标采购交易平台（菏泽专区）</w:t>
      </w:r>
      <w:r>
        <w:rPr>
          <w:rFonts w:hint="eastAsia" w:ascii="宋体" w:hAnsi="宋体" w:eastAsia="宋体" w:cs="宋体"/>
          <w:sz w:val="24"/>
          <w:lang w:eastAsia="zh-CN"/>
        </w:rPr>
        <w:t>http://hz.fzbidding.com/</w:t>
      </w:r>
      <w:r>
        <w:rPr>
          <w:rFonts w:hint="eastAsia" w:ascii="宋体" w:hAnsi="宋体" w:eastAsia="宋体" w:cs="宋体"/>
          <w:sz w:val="24"/>
          <w:lang w:val="en-US" w:eastAsia="zh-CN"/>
        </w:rPr>
        <w:t>相关规定执行。</w:t>
      </w:r>
    </w:p>
    <w:p>
      <w:pPr>
        <w:pStyle w:val="4"/>
        <w:spacing w:line="480" w:lineRule="exact"/>
        <w:ind w:left="0" w:leftChars="0" w:firstLine="0" w:firstLineChars="0"/>
        <w:rPr>
          <w:rFonts w:hint="eastAsia" w:ascii="宋体" w:hAnsi="宋体" w:eastAsia="宋体" w:cs="宋体"/>
          <w:sz w:val="24"/>
          <w:szCs w:val="24"/>
          <w:lang w:val="en-US" w:eastAsia="zh-CN"/>
        </w:rPr>
      </w:pPr>
      <w:bookmarkStart w:id="19" w:name="_Toc15008"/>
      <w:r>
        <w:rPr>
          <w:rFonts w:hint="eastAsia" w:ascii="宋体" w:hAnsi="宋体" w:eastAsia="宋体" w:cs="宋体"/>
          <w:sz w:val="24"/>
          <w:szCs w:val="24"/>
          <w:lang w:val="en-US" w:eastAsia="zh-CN"/>
        </w:rPr>
        <w:t>5.</w:t>
      </w:r>
      <w:r>
        <w:rPr>
          <w:rFonts w:hint="eastAsia" w:ascii="宋体" w:hAnsi="宋体" w:eastAsia="宋体" w:cs="宋体"/>
          <w:sz w:val="24"/>
          <w:szCs w:val="24"/>
        </w:rPr>
        <w:t>评审办法</w:t>
      </w:r>
    </w:p>
    <w:p>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具体内容详见本文件第三章</w:t>
      </w:r>
    </w:p>
    <w:p>
      <w:pPr>
        <w:spacing w:line="500" w:lineRule="exact"/>
        <w:ind w:left="0" w:leftChars="0" w:firstLine="0" w:firstLineChars="0"/>
        <w:rPr>
          <w:rFonts w:hint="eastAsia" w:ascii="宋体" w:hAnsi="宋体" w:eastAsia="宋体" w:cs="宋体"/>
          <w:b/>
          <w:sz w:val="24"/>
        </w:rPr>
      </w:pPr>
      <w:r>
        <w:rPr>
          <w:rFonts w:hint="eastAsia" w:ascii="宋体" w:hAnsi="宋体" w:eastAsia="宋体" w:cs="宋体"/>
          <w:b/>
          <w:sz w:val="24"/>
        </w:rPr>
        <w:t>6. 磋商</w:t>
      </w:r>
      <w:bookmarkEnd w:id="19"/>
    </w:p>
    <w:p>
      <w:pPr>
        <w:spacing w:line="500" w:lineRule="exact"/>
        <w:ind w:left="0" w:leftChars="0" w:firstLine="0" w:firstLineChars="0"/>
        <w:rPr>
          <w:rFonts w:hint="eastAsia" w:ascii="宋体" w:hAnsi="宋体" w:eastAsia="宋体" w:cs="宋体"/>
          <w:b/>
          <w:bCs/>
          <w:sz w:val="24"/>
        </w:rPr>
      </w:pPr>
      <w:r>
        <w:rPr>
          <w:rFonts w:hint="eastAsia" w:ascii="宋体" w:hAnsi="宋体" w:eastAsia="宋体" w:cs="宋体"/>
          <w:b/>
          <w:bCs/>
          <w:sz w:val="24"/>
        </w:rPr>
        <w:t>6.1 磋商小组</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6.1.1</w:t>
      </w:r>
      <w:r>
        <w:rPr>
          <w:rFonts w:hint="eastAsia" w:ascii="宋体" w:hAnsi="宋体" w:eastAsia="宋体" w:cs="宋体"/>
          <w:sz w:val="24"/>
          <w:szCs w:val="24"/>
          <w:lang w:val="en-US" w:eastAsia="zh-CN"/>
        </w:rPr>
        <w:t>磋商小组</w:t>
      </w:r>
      <w:r>
        <w:rPr>
          <w:rFonts w:hint="eastAsia" w:ascii="宋体" w:hAnsi="宋体" w:eastAsia="宋体" w:cs="宋体"/>
          <w:sz w:val="24"/>
          <w:szCs w:val="24"/>
          <w:lang w:val="zh-CN"/>
        </w:rPr>
        <w:t>由</w:t>
      </w:r>
      <w:r>
        <w:rPr>
          <w:rFonts w:hint="eastAsia" w:ascii="宋体" w:hAnsi="宋体" w:eastAsia="宋体" w:cs="宋体"/>
          <w:sz w:val="24"/>
          <w:szCs w:val="24"/>
          <w:lang w:val="en-US" w:eastAsia="zh-CN"/>
        </w:rPr>
        <w:t>3</w:t>
      </w:r>
      <w:r>
        <w:rPr>
          <w:rFonts w:hint="eastAsia" w:ascii="宋体" w:hAnsi="宋体" w:eastAsia="宋体" w:cs="宋体"/>
          <w:sz w:val="24"/>
          <w:szCs w:val="24"/>
          <w:lang w:val="zh-CN"/>
        </w:rPr>
        <w:t>人组成。</w:t>
      </w:r>
      <w:r>
        <w:rPr>
          <w:rFonts w:hint="eastAsia" w:ascii="宋体" w:hAnsi="宋体" w:eastAsia="宋体" w:cs="宋体"/>
          <w:sz w:val="24"/>
          <w:szCs w:val="24"/>
          <w:lang w:val="zh-CN" w:eastAsia="zh-CN"/>
        </w:rPr>
        <w:t>其中，</w:t>
      </w:r>
      <w:r>
        <w:rPr>
          <w:rFonts w:hint="eastAsia" w:ascii="宋体" w:hAnsi="宋体" w:eastAsia="宋体" w:cs="宋体"/>
          <w:sz w:val="24"/>
          <w:szCs w:val="24"/>
          <w:lang w:val="en-US" w:eastAsia="zh-CN"/>
        </w:rPr>
        <w:t>采购人</w:t>
      </w:r>
      <w:r>
        <w:rPr>
          <w:rFonts w:hint="eastAsia" w:ascii="宋体" w:hAnsi="宋体" w:eastAsia="宋体" w:cs="宋体"/>
          <w:sz w:val="24"/>
          <w:szCs w:val="24"/>
          <w:lang w:val="zh-CN"/>
        </w:rPr>
        <w:t>代表</w:t>
      </w:r>
      <w:r>
        <w:rPr>
          <w:rFonts w:hint="eastAsia" w:ascii="宋体" w:hAnsi="宋体" w:eastAsia="宋体" w:cs="宋体"/>
          <w:sz w:val="24"/>
          <w:szCs w:val="24"/>
          <w:lang w:val="en-US" w:eastAsia="zh-CN"/>
        </w:rPr>
        <w:t>1</w:t>
      </w:r>
      <w:r>
        <w:rPr>
          <w:rFonts w:hint="eastAsia" w:ascii="宋体" w:hAnsi="宋体" w:eastAsia="宋体" w:cs="宋体"/>
          <w:sz w:val="24"/>
          <w:szCs w:val="24"/>
          <w:lang w:val="zh-CN"/>
        </w:rPr>
        <w:t>名，其余</w:t>
      </w:r>
      <w:r>
        <w:rPr>
          <w:rFonts w:hint="eastAsia" w:ascii="宋体" w:hAnsi="宋体" w:eastAsia="宋体" w:cs="宋体"/>
          <w:sz w:val="24"/>
          <w:szCs w:val="24"/>
          <w:lang w:val="en-US" w:eastAsia="zh-CN"/>
        </w:rPr>
        <w:t>2名</w:t>
      </w:r>
      <w:r>
        <w:rPr>
          <w:rFonts w:hint="eastAsia" w:ascii="宋体" w:hAnsi="宋体" w:eastAsia="宋体" w:cs="宋体"/>
          <w:sz w:val="24"/>
          <w:szCs w:val="24"/>
          <w:lang w:val="zh-CN"/>
        </w:rPr>
        <w:t>成员从山东省政府采购信息公开平台专家库中随机抽取。</w:t>
      </w:r>
      <w:r>
        <w:rPr>
          <w:rFonts w:hint="eastAsia" w:ascii="宋体" w:hAnsi="宋体" w:eastAsia="宋体" w:cs="宋体"/>
          <w:kern w:val="0"/>
          <w:sz w:val="24"/>
          <w:highlight w:val="none"/>
          <w:lang w:val="zh-CN"/>
        </w:rPr>
        <w:t>其中技术、经济等方面的专家不少于成员总数的三分之二</w:t>
      </w:r>
      <w:r>
        <w:rPr>
          <w:rFonts w:hint="eastAsia" w:ascii="宋体" w:hAnsi="宋体" w:eastAsia="宋体" w:cs="宋体"/>
          <w:sz w:val="24"/>
          <w:szCs w:val="24"/>
        </w:rPr>
        <w:t>，评审小组开始工作之前应由评审小组推举产生一名组长，负责协调、组织评审小组成员开展评标工作。</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6.1.2 磋商小组成员有下列情形之一的，应当回避：</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（1）采购人或供应商的主要负责人的近亲属；</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（2）与供应商有经济利益关系，可能影响公正磋商的；</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（3）曾因在采购、磋商以及其他与采购有关活动中从事违法行为而受过行政处罚或刑事处罚的。</w:t>
      </w:r>
    </w:p>
    <w:p>
      <w:pPr>
        <w:spacing w:line="500" w:lineRule="exact"/>
        <w:ind w:left="0" w:leftChars="0" w:firstLine="0" w:firstLineChars="0"/>
        <w:rPr>
          <w:rFonts w:hint="eastAsia" w:ascii="宋体" w:hAnsi="宋体" w:eastAsia="宋体" w:cs="宋体"/>
          <w:b/>
          <w:bCs/>
          <w:sz w:val="24"/>
        </w:rPr>
      </w:pPr>
      <w:r>
        <w:rPr>
          <w:rFonts w:hint="eastAsia" w:ascii="宋体" w:hAnsi="宋体" w:eastAsia="宋体" w:cs="宋体"/>
          <w:b/>
          <w:bCs/>
          <w:sz w:val="24"/>
        </w:rPr>
        <w:t>6.2 磋商原则</w:t>
      </w:r>
    </w:p>
    <w:p>
      <w:pPr>
        <w:spacing w:line="500" w:lineRule="exact"/>
        <w:ind w:firstLine="480"/>
        <w:rPr>
          <w:rFonts w:hint="eastAsia" w:ascii="宋体" w:hAnsi="宋体" w:eastAsia="宋体" w:cs="宋体"/>
          <w:sz w:val="24"/>
        </w:rPr>
      </w:pPr>
      <w:r>
        <w:rPr>
          <w:rFonts w:hint="eastAsia" w:ascii="宋体" w:hAnsi="宋体" w:eastAsia="宋体" w:cs="宋体"/>
          <w:sz w:val="24"/>
        </w:rPr>
        <w:t>磋商活动遵循公平、公正、科学和择优的原则。磋商小组按照这一原则的要求，平等地对待各参加磋商供应商。同时，在磋商过程中恪守以下原则：</w:t>
      </w:r>
    </w:p>
    <w:p>
      <w:pPr>
        <w:spacing w:line="500" w:lineRule="exact"/>
        <w:ind w:firstLine="360" w:firstLineChars="150"/>
        <w:rPr>
          <w:rFonts w:hint="eastAsia" w:ascii="宋体" w:hAnsi="宋体" w:eastAsia="宋体" w:cs="宋体"/>
          <w:sz w:val="24"/>
        </w:rPr>
      </w:pPr>
      <w:r>
        <w:rPr>
          <w:rFonts w:hint="eastAsia" w:ascii="宋体" w:hAnsi="宋体" w:eastAsia="宋体" w:cs="宋体"/>
          <w:sz w:val="24"/>
        </w:rPr>
        <w:t>（1）客观性原则：磋商小组将严格按照竞争性磋商文件要求的内容，对参加磋商供应商的响应文件进行认真评审；磋商小组对响应文件的评审仅依靠竞争性磋商文件本身，而不依靠其他的任何因素。</w:t>
      </w:r>
    </w:p>
    <w:p>
      <w:pPr>
        <w:spacing w:line="500" w:lineRule="exact"/>
        <w:ind w:firstLine="360" w:firstLineChars="150"/>
        <w:rPr>
          <w:rFonts w:hint="eastAsia" w:ascii="宋体" w:hAnsi="宋体" w:eastAsia="宋体" w:cs="宋体"/>
          <w:sz w:val="24"/>
        </w:rPr>
      </w:pPr>
      <w:r>
        <w:rPr>
          <w:rFonts w:hint="eastAsia" w:ascii="宋体" w:hAnsi="宋体" w:eastAsia="宋体" w:cs="宋体"/>
          <w:sz w:val="24"/>
        </w:rPr>
        <w:t>（2）统一性原则：磋商小组将按照统一的磋商原则和评审方法，对各参加磋商供应商的竞争性磋商文件进行综合评审。</w:t>
      </w:r>
    </w:p>
    <w:p>
      <w:pPr>
        <w:spacing w:line="500" w:lineRule="exact"/>
        <w:ind w:firstLine="360" w:firstLineChars="150"/>
        <w:rPr>
          <w:rFonts w:hint="eastAsia" w:ascii="宋体" w:hAnsi="宋体" w:eastAsia="宋体" w:cs="宋体"/>
          <w:sz w:val="24"/>
        </w:rPr>
      </w:pPr>
      <w:r>
        <w:rPr>
          <w:rFonts w:hint="eastAsia" w:ascii="宋体" w:hAnsi="宋体" w:eastAsia="宋体" w:cs="宋体"/>
          <w:sz w:val="24"/>
        </w:rPr>
        <w:t>（3）独立性原则：评审工作在磋商小组内部独立进行，不受外界任何因素的干扰和影响。磋商小组成员对出具的专家意见承担个人责任。</w:t>
      </w:r>
    </w:p>
    <w:p>
      <w:pPr>
        <w:spacing w:line="500" w:lineRule="exact"/>
        <w:ind w:firstLine="360" w:firstLineChars="150"/>
        <w:rPr>
          <w:rFonts w:hint="eastAsia" w:ascii="宋体" w:hAnsi="宋体" w:eastAsia="宋体" w:cs="宋体"/>
          <w:sz w:val="24"/>
        </w:rPr>
      </w:pPr>
      <w:r>
        <w:rPr>
          <w:rFonts w:hint="eastAsia" w:ascii="宋体" w:hAnsi="宋体" w:eastAsia="宋体" w:cs="宋体"/>
          <w:sz w:val="24"/>
        </w:rPr>
        <w:t>（4）保密性原则：磋商小组成员及有关工作人员将保守参加磋商供应商的商业秘密。</w:t>
      </w:r>
    </w:p>
    <w:p>
      <w:pPr>
        <w:spacing w:line="500" w:lineRule="exact"/>
        <w:ind w:firstLine="360" w:firstLineChars="150"/>
        <w:rPr>
          <w:rFonts w:hint="eastAsia" w:ascii="宋体" w:hAnsi="宋体" w:eastAsia="宋体" w:cs="宋体"/>
          <w:sz w:val="24"/>
        </w:rPr>
      </w:pPr>
      <w:r>
        <w:rPr>
          <w:rFonts w:hint="eastAsia" w:ascii="宋体" w:hAnsi="宋体" w:eastAsia="宋体" w:cs="宋体"/>
          <w:sz w:val="24"/>
        </w:rPr>
        <w:t>（5）综合性原则：磋商小组将综合分析、评审参加磋商供应商的各项指标，而不以单项指标的优劣评定成交供应商。</w:t>
      </w:r>
    </w:p>
    <w:p>
      <w:pPr>
        <w:spacing w:line="500" w:lineRule="exact"/>
        <w:ind w:firstLine="360" w:firstLineChars="150"/>
        <w:rPr>
          <w:rFonts w:hint="eastAsia" w:ascii="宋体" w:hAnsi="宋体" w:eastAsia="宋体" w:cs="宋体"/>
          <w:sz w:val="24"/>
        </w:rPr>
      </w:pPr>
      <w:r>
        <w:rPr>
          <w:rFonts w:hint="eastAsia" w:ascii="宋体" w:hAnsi="宋体" w:eastAsia="宋体" w:cs="宋体"/>
          <w:sz w:val="24"/>
        </w:rPr>
        <w:t>（6）集体决定的原则：由磋商小组集体讨论确定成交供应商。</w:t>
      </w:r>
    </w:p>
    <w:p>
      <w:pPr>
        <w:spacing w:line="500" w:lineRule="exact"/>
        <w:ind w:left="0" w:leftChars="0" w:firstLine="0" w:firstLineChars="0"/>
        <w:rPr>
          <w:rFonts w:hint="eastAsia" w:ascii="宋体" w:hAnsi="宋体" w:eastAsia="宋体" w:cs="宋体"/>
          <w:sz w:val="24"/>
        </w:rPr>
      </w:pPr>
      <w:bookmarkStart w:id="20" w:name="_Toc285809501"/>
      <w:r>
        <w:rPr>
          <w:rFonts w:hint="eastAsia" w:ascii="宋体" w:hAnsi="宋体" w:eastAsia="宋体" w:cs="宋体"/>
          <w:b/>
          <w:bCs/>
          <w:sz w:val="24"/>
        </w:rPr>
        <w:t>6.3 评审纪律</w:t>
      </w:r>
      <w:bookmarkEnd w:id="20"/>
      <w:r>
        <w:rPr>
          <w:rFonts w:hint="eastAsia" w:ascii="宋体" w:hAnsi="宋体" w:eastAsia="宋体" w:cs="宋体"/>
          <w:sz w:val="24"/>
        </w:rPr>
        <w:tab/>
      </w:r>
    </w:p>
    <w:p>
      <w:pPr>
        <w:spacing w:line="500" w:lineRule="exact"/>
        <w:ind w:firstLine="480"/>
        <w:rPr>
          <w:rFonts w:hint="eastAsia" w:ascii="宋体" w:hAnsi="宋体" w:eastAsia="宋体" w:cs="宋体"/>
          <w:sz w:val="24"/>
        </w:rPr>
      </w:pPr>
      <w:r>
        <w:rPr>
          <w:rFonts w:hint="eastAsia" w:ascii="宋体" w:hAnsi="宋体" w:eastAsia="宋体" w:cs="宋体"/>
          <w:sz w:val="24"/>
        </w:rPr>
        <w:t>6.3.1 为了规范评审活动，保证评审的公平、公正，维护政府采购活动当事人的合法权益，依据《中华人民共和国政府采购法》等国家有关法律、法规制定本规定。</w:t>
      </w:r>
    </w:p>
    <w:p>
      <w:pPr>
        <w:spacing w:line="500" w:lineRule="exact"/>
        <w:ind w:firstLine="480"/>
        <w:rPr>
          <w:rFonts w:hint="eastAsia" w:ascii="宋体" w:hAnsi="宋体" w:eastAsia="宋体" w:cs="宋体"/>
          <w:sz w:val="24"/>
        </w:rPr>
      </w:pPr>
      <w:r>
        <w:rPr>
          <w:rFonts w:hint="eastAsia" w:ascii="宋体" w:hAnsi="宋体" w:eastAsia="宋体" w:cs="宋体"/>
          <w:sz w:val="24"/>
        </w:rPr>
        <w:t>6.3.2 评审活动遵循公平、公正、科学、择优的原则依法进行，任何单位和个人不得非法干预或影响评标过程和结果。</w:t>
      </w:r>
    </w:p>
    <w:p>
      <w:pPr>
        <w:spacing w:line="500" w:lineRule="exact"/>
        <w:ind w:firstLine="480"/>
        <w:rPr>
          <w:rFonts w:hint="eastAsia" w:ascii="宋体" w:hAnsi="宋体" w:eastAsia="宋体" w:cs="宋体"/>
          <w:sz w:val="24"/>
        </w:rPr>
      </w:pPr>
      <w:r>
        <w:rPr>
          <w:rFonts w:hint="eastAsia" w:ascii="宋体" w:hAnsi="宋体" w:eastAsia="宋体" w:cs="宋体"/>
          <w:sz w:val="24"/>
        </w:rPr>
        <w:t>6.3.3 评审活动在严格保密的情况下进行，只有在山东省政府采购信息公开平台专家库中随机抽取的磋商小组的成员、监督人员及经批准的采购人或者其委托的代理机构的有关工作人员参加。其他任何人员不得随意进入评审地点。</w:t>
      </w:r>
    </w:p>
    <w:p>
      <w:pPr>
        <w:spacing w:line="500" w:lineRule="exact"/>
        <w:ind w:firstLine="480"/>
        <w:rPr>
          <w:rFonts w:hint="eastAsia" w:ascii="宋体" w:hAnsi="宋体" w:eastAsia="宋体" w:cs="宋体"/>
          <w:sz w:val="24"/>
        </w:rPr>
      </w:pPr>
      <w:r>
        <w:rPr>
          <w:rFonts w:hint="eastAsia" w:ascii="宋体" w:hAnsi="宋体" w:eastAsia="宋体" w:cs="宋体"/>
          <w:sz w:val="24"/>
        </w:rPr>
        <w:t>6.3.4 在评审过程中，只有磋商小组的成员享有评审发言权，其他人员不得随意发表意见。</w:t>
      </w:r>
    </w:p>
    <w:p>
      <w:pPr>
        <w:spacing w:line="500" w:lineRule="exact"/>
        <w:ind w:firstLine="480"/>
        <w:rPr>
          <w:rFonts w:hint="eastAsia" w:ascii="宋体" w:hAnsi="宋体" w:eastAsia="宋体" w:cs="宋体"/>
          <w:sz w:val="24"/>
        </w:rPr>
      </w:pPr>
      <w:r>
        <w:rPr>
          <w:rFonts w:hint="eastAsia" w:ascii="宋体" w:hAnsi="宋体" w:eastAsia="宋体" w:cs="宋体"/>
          <w:sz w:val="24"/>
        </w:rPr>
        <w:t>6.3.5 磋商小组成员应当客观、公正地履行职责，遵守职业道德，对所提出的评审意见承担个人责任。</w:t>
      </w:r>
    </w:p>
    <w:p>
      <w:pPr>
        <w:spacing w:line="500" w:lineRule="exact"/>
        <w:ind w:firstLine="480"/>
        <w:rPr>
          <w:rFonts w:hint="eastAsia" w:ascii="宋体" w:hAnsi="宋体" w:eastAsia="宋体" w:cs="宋体"/>
          <w:sz w:val="24"/>
        </w:rPr>
      </w:pPr>
      <w:r>
        <w:rPr>
          <w:rFonts w:hint="eastAsia" w:ascii="宋体" w:hAnsi="宋体" w:eastAsia="宋体" w:cs="宋体"/>
          <w:sz w:val="24"/>
        </w:rPr>
        <w:t>6.3.6 磋商小组应当根据竞争性磋商文件规定的评标标准和方法，对响应文件进行系统地评审和比较。磋商文件中没有规定的标准和方法不得作为评审的依据。</w:t>
      </w:r>
    </w:p>
    <w:p>
      <w:pPr>
        <w:spacing w:line="500" w:lineRule="exact"/>
        <w:ind w:firstLine="480"/>
        <w:rPr>
          <w:rFonts w:hint="eastAsia" w:ascii="宋体" w:hAnsi="宋体" w:eastAsia="宋体" w:cs="宋体"/>
          <w:sz w:val="24"/>
        </w:rPr>
      </w:pPr>
      <w:r>
        <w:rPr>
          <w:rFonts w:hint="eastAsia" w:ascii="宋体" w:hAnsi="宋体" w:eastAsia="宋体" w:cs="宋体"/>
          <w:sz w:val="24"/>
        </w:rPr>
        <w:t>6.3.7 磋商小组成员不得与任何供应商或者与评审结果有利害关系的人进行私下接触，不得收受供应商、中介人、其他利害关系人的财物或者其他好处。</w:t>
      </w:r>
    </w:p>
    <w:p>
      <w:pPr>
        <w:spacing w:line="500" w:lineRule="exact"/>
        <w:ind w:firstLine="480"/>
        <w:rPr>
          <w:rFonts w:hint="eastAsia" w:ascii="宋体" w:hAnsi="宋体" w:eastAsia="宋体" w:cs="宋体"/>
          <w:sz w:val="24"/>
        </w:rPr>
      </w:pPr>
      <w:r>
        <w:rPr>
          <w:rFonts w:hint="eastAsia" w:ascii="宋体" w:hAnsi="宋体" w:eastAsia="宋体" w:cs="宋体"/>
          <w:sz w:val="24"/>
        </w:rPr>
        <w:t>6.3.8 评审期间，磋商小组成员不得单独出入评审地点、与外界通讯、会客等。</w:t>
      </w:r>
    </w:p>
    <w:p>
      <w:pPr>
        <w:spacing w:line="500" w:lineRule="exact"/>
        <w:ind w:firstLine="480"/>
        <w:rPr>
          <w:rFonts w:hint="eastAsia" w:ascii="宋体" w:hAnsi="宋体" w:eastAsia="宋体" w:cs="宋体"/>
          <w:sz w:val="24"/>
        </w:rPr>
      </w:pPr>
      <w:r>
        <w:rPr>
          <w:rFonts w:hint="eastAsia" w:ascii="宋体" w:hAnsi="宋体" w:eastAsia="宋体" w:cs="宋体"/>
          <w:sz w:val="24"/>
        </w:rPr>
        <w:t>6.3.9 磋商小组成员和与评审活动有关的工作人员不得透露对响应文件的评审和比较、成交候选人的推荐情况以及与评审有关的其他情况。</w:t>
      </w:r>
    </w:p>
    <w:p>
      <w:pPr>
        <w:spacing w:line="500" w:lineRule="exact"/>
        <w:ind w:firstLine="480"/>
        <w:rPr>
          <w:rFonts w:hint="eastAsia" w:ascii="宋体" w:hAnsi="宋体" w:eastAsia="宋体" w:cs="宋体"/>
          <w:sz w:val="24"/>
        </w:rPr>
      </w:pPr>
      <w:r>
        <w:rPr>
          <w:rFonts w:hint="eastAsia" w:ascii="宋体" w:hAnsi="宋体" w:eastAsia="宋体" w:cs="宋体"/>
          <w:sz w:val="24"/>
        </w:rPr>
        <w:t>6.3.10 评审结束后，磋商小组成员应将全部资料整理上交采购人或者代理机构，严禁将评审过程中有关资料向供应商或者其他单位提供。</w:t>
      </w:r>
    </w:p>
    <w:p>
      <w:pPr>
        <w:spacing w:line="500" w:lineRule="exact"/>
        <w:ind w:firstLine="480"/>
        <w:rPr>
          <w:rFonts w:hint="eastAsia" w:ascii="宋体" w:hAnsi="宋体" w:eastAsia="宋体" w:cs="宋体"/>
          <w:sz w:val="24"/>
        </w:rPr>
      </w:pPr>
      <w:r>
        <w:rPr>
          <w:rFonts w:hint="eastAsia" w:ascii="宋体" w:hAnsi="宋体" w:eastAsia="宋体" w:cs="宋体"/>
          <w:sz w:val="24"/>
        </w:rPr>
        <w:t>6.3.11 磋商小组成员在评审过程中擅离职守，影响评审程序正常进行或者在评审过程中不能客观公正地履行职责的，给予警告；情节严重的，取消担任磋商小组成员的资格，不得再参加依法必须进行采购项目的评审，并处一万元以下的罚款；构成犯罪的，依法追究刑事责任。</w:t>
      </w:r>
    </w:p>
    <w:p>
      <w:pPr>
        <w:spacing w:line="500" w:lineRule="exact"/>
        <w:ind w:left="0" w:leftChars="0" w:firstLine="0" w:firstLineChars="0"/>
        <w:rPr>
          <w:rFonts w:hint="eastAsia" w:ascii="宋体" w:hAnsi="宋体" w:eastAsia="宋体" w:cs="宋体"/>
          <w:b/>
          <w:bCs/>
          <w:sz w:val="24"/>
        </w:rPr>
      </w:pPr>
      <w:r>
        <w:rPr>
          <w:rFonts w:hint="eastAsia" w:ascii="宋体" w:hAnsi="宋体" w:eastAsia="宋体" w:cs="宋体"/>
          <w:b/>
          <w:bCs/>
          <w:sz w:val="24"/>
        </w:rPr>
        <w:t>6.4磋商</w:t>
      </w:r>
    </w:p>
    <w:p>
      <w:pPr>
        <w:spacing w:line="500" w:lineRule="exact"/>
        <w:ind w:firstLine="410" w:firstLineChars="171"/>
        <w:rPr>
          <w:rFonts w:hint="eastAsia" w:ascii="宋体" w:hAnsi="宋体" w:eastAsia="宋体" w:cs="宋体"/>
          <w:sz w:val="24"/>
        </w:rPr>
      </w:pPr>
      <w:r>
        <w:rPr>
          <w:rFonts w:hint="eastAsia" w:cs="宋体"/>
          <w:sz w:val="24"/>
          <w:lang w:val="en-US" w:eastAsia="zh-CN"/>
        </w:rPr>
        <w:t>6.4.1</w:t>
      </w:r>
      <w:r>
        <w:rPr>
          <w:rFonts w:hint="eastAsia" w:ascii="宋体" w:hAnsi="宋体" w:eastAsia="宋体" w:cs="宋体"/>
          <w:sz w:val="24"/>
        </w:rPr>
        <w:t>磋商小组按照第三章“竞争性磋商办法”规定的方法、评审因素、标准和程序对响应文件进行评审。第三章“竞争性磋商办法”没有规定的方法、评审因素和标准，不作为评审依据。</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6.4.2为了有助于响应文件的检查和评审，磋商小组可以要求供应商澄清其提交的响应文件。采购人的澄清要求和供应商的答复均应以书面形式为准，供应商不得修改响应文件报价或响应文件中其它实质性内容，经澄清的问题需由供应商签字认可后作为响应文件的组成部分。</w:t>
      </w:r>
    </w:p>
    <w:p>
      <w:pPr>
        <w:spacing w:line="500" w:lineRule="exact"/>
        <w:ind w:left="0" w:leftChars="0" w:firstLine="0" w:firstLineChars="0"/>
        <w:outlineLvl w:val="1"/>
        <w:rPr>
          <w:rFonts w:hint="eastAsia" w:ascii="宋体" w:hAnsi="宋体" w:eastAsia="宋体" w:cs="宋体"/>
          <w:b/>
          <w:sz w:val="24"/>
        </w:rPr>
      </w:pPr>
      <w:bookmarkStart w:id="21" w:name="_Toc17137"/>
      <w:r>
        <w:rPr>
          <w:rFonts w:hint="eastAsia" w:ascii="宋体" w:hAnsi="宋体" w:eastAsia="宋体" w:cs="宋体"/>
          <w:b/>
          <w:sz w:val="24"/>
        </w:rPr>
        <w:t>7. 合同授予</w:t>
      </w:r>
      <w:bookmarkEnd w:id="21"/>
    </w:p>
    <w:p>
      <w:pPr>
        <w:spacing w:line="500" w:lineRule="exact"/>
        <w:ind w:left="0" w:leftChars="0" w:firstLine="0" w:firstLineChars="0"/>
        <w:rPr>
          <w:rFonts w:hint="eastAsia" w:ascii="宋体" w:hAnsi="宋体" w:eastAsia="宋体" w:cs="宋体"/>
          <w:b/>
          <w:bCs/>
          <w:sz w:val="24"/>
        </w:rPr>
      </w:pPr>
      <w:r>
        <w:rPr>
          <w:rFonts w:hint="eastAsia" w:ascii="宋体" w:hAnsi="宋体" w:eastAsia="宋体" w:cs="宋体"/>
          <w:b/>
          <w:bCs/>
          <w:sz w:val="24"/>
        </w:rPr>
        <w:t>7.1 成交方式</w:t>
      </w:r>
    </w:p>
    <w:p>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磋商小组根据竞争性磋商文件制定的评审方法及原则，对响应文件进行评审和比较，向采购人提出书面评</w:t>
      </w:r>
      <w:r>
        <w:rPr>
          <w:rFonts w:hint="eastAsia" w:ascii="宋体" w:hAnsi="宋体" w:eastAsia="宋体" w:cs="宋体"/>
          <w:sz w:val="24"/>
          <w:lang w:val="en-US" w:eastAsia="zh-CN"/>
        </w:rPr>
        <w:t>审</w:t>
      </w:r>
      <w:r>
        <w:rPr>
          <w:rFonts w:hint="eastAsia" w:ascii="宋体" w:hAnsi="宋体" w:eastAsia="宋体" w:cs="宋体"/>
          <w:sz w:val="24"/>
          <w:lang w:eastAsia="zh-CN"/>
        </w:rPr>
        <w:t>报告，并按综合得分高低排列顺序（即评审合格且得分最高的为第一成交候选人，依次类推），推荐3名合格的成交候选人。采购人根据提出的书面评</w:t>
      </w:r>
      <w:r>
        <w:rPr>
          <w:rFonts w:hint="eastAsia" w:ascii="宋体" w:hAnsi="宋体" w:eastAsia="宋体" w:cs="宋体"/>
          <w:sz w:val="24"/>
          <w:lang w:val="en-US" w:eastAsia="zh-CN"/>
        </w:rPr>
        <w:t>审</w:t>
      </w:r>
      <w:r>
        <w:rPr>
          <w:rFonts w:hint="eastAsia" w:ascii="宋体" w:hAnsi="宋体" w:eastAsia="宋体" w:cs="宋体"/>
          <w:sz w:val="24"/>
          <w:lang w:eastAsia="zh-CN"/>
        </w:rPr>
        <w:t>报告和推荐的成交候选人，确定排名第一的成交候选人为</w:t>
      </w:r>
      <w:r>
        <w:rPr>
          <w:rFonts w:hint="eastAsia" w:ascii="宋体" w:hAnsi="宋体" w:eastAsia="宋体" w:cs="宋体"/>
          <w:sz w:val="24"/>
          <w:lang w:val="en-US" w:eastAsia="zh-CN"/>
        </w:rPr>
        <w:t>成交</w:t>
      </w:r>
      <w:r>
        <w:rPr>
          <w:rFonts w:hint="eastAsia" w:ascii="宋体" w:hAnsi="宋体" w:eastAsia="宋体" w:cs="宋体"/>
          <w:sz w:val="24"/>
          <w:lang w:eastAsia="zh-CN"/>
        </w:rPr>
        <w:t>单位。排名第一的成交候选人放弃中标、因不可抗力提出不能履行合同、或者因违反相关规定被依法取消其成交资格的，采购人可以确定排名第二的成交候选人为</w:t>
      </w:r>
      <w:r>
        <w:rPr>
          <w:rFonts w:hint="eastAsia" w:ascii="宋体" w:hAnsi="宋体" w:eastAsia="宋体" w:cs="宋体"/>
          <w:sz w:val="24"/>
          <w:lang w:val="en-US" w:eastAsia="zh-CN"/>
        </w:rPr>
        <w:t>成交</w:t>
      </w:r>
      <w:r>
        <w:rPr>
          <w:rFonts w:hint="eastAsia" w:ascii="宋体" w:hAnsi="宋体" w:eastAsia="宋体" w:cs="宋体"/>
          <w:sz w:val="24"/>
          <w:lang w:eastAsia="zh-CN"/>
        </w:rPr>
        <w:t>单位。排名第二的成交候选人因前款规定的同样原因不能签订合同的，采购人可以确定排名第三的成交候选人为</w:t>
      </w:r>
      <w:r>
        <w:rPr>
          <w:rFonts w:hint="eastAsia" w:ascii="宋体" w:hAnsi="宋体" w:eastAsia="宋体" w:cs="宋体"/>
          <w:sz w:val="24"/>
          <w:lang w:val="en-US" w:eastAsia="zh-CN"/>
        </w:rPr>
        <w:t>成交</w:t>
      </w:r>
      <w:r>
        <w:rPr>
          <w:rFonts w:hint="eastAsia" w:ascii="宋体" w:hAnsi="宋体" w:eastAsia="宋体" w:cs="宋体"/>
          <w:sz w:val="24"/>
          <w:lang w:eastAsia="zh-CN"/>
        </w:rPr>
        <w:t>单位，也可以进行重新招标。</w:t>
      </w:r>
    </w:p>
    <w:p>
      <w:pPr>
        <w:spacing w:line="500" w:lineRule="exact"/>
        <w:ind w:left="0" w:leftChars="0" w:firstLine="0" w:firstLineChars="0"/>
        <w:rPr>
          <w:rFonts w:hint="eastAsia" w:ascii="宋体" w:hAnsi="宋体" w:eastAsia="宋体" w:cs="宋体"/>
          <w:b/>
          <w:bCs/>
          <w:sz w:val="24"/>
        </w:rPr>
      </w:pPr>
      <w:r>
        <w:rPr>
          <w:rFonts w:hint="eastAsia" w:ascii="宋体" w:hAnsi="宋体" w:eastAsia="宋体" w:cs="宋体"/>
          <w:b/>
          <w:bCs/>
          <w:sz w:val="24"/>
        </w:rPr>
        <w:t>7.2 成交通知</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在本章第3.4 款规定的响应文件有效期内，采购人以书面形式向成交供应商发出成交通知书。</w:t>
      </w:r>
    </w:p>
    <w:p>
      <w:pPr>
        <w:spacing w:line="500" w:lineRule="exact"/>
        <w:ind w:left="0" w:leftChars="0" w:firstLine="0" w:firstLineChars="0"/>
        <w:outlineLvl w:val="1"/>
        <w:rPr>
          <w:rFonts w:hint="eastAsia" w:ascii="宋体" w:hAnsi="宋体" w:eastAsia="宋体" w:cs="宋体"/>
          <w:b/>
          <w:bCs w:val="0"/>
          <w:sz w:val="24"/>
        </w:rPr>
      </w:pPr>
      <w:bookmarkStart w:id="22" w:name="_Toc2381"/>
      <w:bookmarkStart w:id="23" w:name="_Toc494915082"/>
      <w:bookmarkStart w:id="24" w:name="_Toc494967549"/>
      <w:bookmarkStart w:id="25" w:name="_Toc494970159"/>
      <w:r>
        <w:rPr>
          <w:rFonts w:hint="eastAsia" w:ascii="宋体" w:hAnsi="宋体" w:eastAsia="宋体" w:cs="宋体"/>
          <w:b/>
          <w:bCs w:val="0"/>
          <w:sz w:val="24"/>
        </w:rPr>
        <w:t>7.3 签订合同</w:t>
      </w:r>
      <w:bookmarkEnd w:id="22"/>
      <w:bookmarkEnd w:id="23"/>
      <w:bookmarkEnd w:id="24"/>
      <w:bookmarkEnd w:id="25"/>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7.3.1 采购人和成交供应商应当自成交通知书发出之日起</w:t>
      </w:r>
      <w:r>
        <w:rPr>
          <w:rFonts w:hint="eastAsia" w:ascii="宋体" w:hAnsi="宋体" w:eastAsia="宋体" w:cs="宋体"/>
          <w:sz w:val="24"/>
          <w:lang w:val="en-US" w:eastAsia="zh-CN"/>
        </w:rPr>
        <w:t>10个工作日</w:t>
      </w:r>
      <w:r>
        <w:rPr>
          <w:rFonts w:hint="eastAsia" w:ascii="宋体" w:hAnsi="宋体" w:eastAsia="宋体" w:cs="宋体"/>
          <w:sz w:val="24"/>
        </w:rPr>
        <w:t>内，根据响应文件和成交供应商的竞争性磋商文件订立书面合同。成交供应商无正当理由拒签合同的，采购人取消其成交资格。</w:t>
      </w:r>
    </w:p>
    <w:p>
      <w:pPr>
        <w:spacing w:line="500" w:lineRule="exact"/>
        <w:ind w:firstLine="410" w:firstLineChars="171"/>
        <w:rPr>
          <w:rFonts w:hint="eastAsia" w:ascii="宋体" w:hAnsi="宋体" w:eastAsia="宋体" w:cs="宋体"/>
          <w:sz w:val="24"/>
        </w:rPr>
      </w:pPr>
      <w:r>
        <w:rPr>
          <w:rFonts w:hint="eastAsia" w:ascii="宋体" w:hAnsi="宋体" w:eastAsia="宋体" w:cs="宋体"/>
          <w:sz w:val="24"/>
        </w:rPr>
        <w:t>7.3.2 发出成交通知书后，采购人无正当理由拒签合同的，给成交供应商造成损失的，还应当赔偿损失。</w:t>
      </w:r>
    </w:p>
    <w:p>
      <w:pPr>
        <w:pStyle w:val="4"/>
        <w:spacing w:line="480" w:lineRule="exact"/>
        <w:ind w:left="0" w:leftChars="0" w:firstLine="0" w:firstLineChars="0"/>
        <w:rPr>
          <w:rFonts w:hint="eastAsia" w:ascii="宋体" w:hAnsi="宋体" w:eastAsia="宋体" w:cs="宋体"/>
          <w:b/>
          <w:bCs/>
          <w:sz w:val="24"/>
          <w:szCs w:val="24"/>
        </w:rPr>
      </w:pPr>
      <w:bookmarkStart w:id="26" w:name="_Toc152045571"/>
      <w:bookmarkStart w:id="27" w:name="_Toc144974539"/>
      <w:bookmarkStart w:id="28" w:name="_Toc152042347"/>
      <w:bookmarkStart w:id="29" w:name="_Toc25222"/>
      <w:bookmarkStart w:id="30" w:name="_Toc17485"/>
      <w:bookmarkStart w:id="31" w:name="_Toc285809508"/>
      <w:bookmarkStart w:id="32" w:name="_Toc6417"/>
      <w:bookmarkStart w:id="33" w:name="_Toc179632589"/>
      <w:bookmarkStart w:id="34" w:name="_Toc414538495"/>
      <w:bookmarkStart w:id="35" w:name="_Toc25031"/>
      <w:bookmarkStart w:id="36" w:name="_Toc10984_WPSOffice_Level1"/>
      <w:bookmarkStart w:id="37" w:name="_Toc3331_WPSOffice_Level1"/>
      <w:bookmarkStart w:id="38" w:name="_Toc199575430"/>
      <w:r>
        <w:rPr>
          <w:rFonts w:hint="eastAsia" w:cs="宋体"/>
          <w:b/>
          <w:bCs/>
          <w:sz w:val="24"/>
          <w:szCs w:val="24"/>
          <w:lang w:val="en-US" w:eastAsia="zh-CN"/>
        </w:rPr>
        <w:t>8</w:t>
      </w:r>
      <w:r>
        <w:rPr>
          <w:rFonts w:hint="eastAsia" w:ascii="宋体" w:hAnsi="宋体" w:eastAsia="宋体" w:cs="宋体"/>
          <w:b/>
          <w:bCs/>
          <w:sz w:val="24"/>
          <w:szCs w:val="24"/>
        </w:rPr>
        <w:t>、重新招标和不再招标</w:t>
      </w:r>
      <w:bookmarkEnd w:id="26"/>
      <w:bookmarkEnd w:id="27"/>
      <w:bookmarkEnd w:id="28"/>
      <w:bookmarkEnd w:id="29"/>
      <w:bookmarkEnd w:id="30"/>
      <w:bookmarkEnd w:id="31"/>
      <w:bookmarkEnd w:id="32"/>
      <w:bookmarkEnd w:id="33"/>
    </w:p>
    <w:p>
      <w:pPr>
        <w:keepNext w:val="0"/>
        <w:keepLines w:val="0"/>
        <w:pageBreakBefore w:val="0"/>
        <w:widowControl w:val="0"/>
        <w:kinsoku/>
        <w:wordWrap/>
        <w:overflowPunct/>
        <w:topLinePunct w:val="0"/>
        <w:autoSpaceDE/>
        <w:autoSpaceDN/>
        <w:bidi w:val="0"/>
        <w:adjustRightInd/>
        <w:spacing w:line="500" w:lineRule="exact"/>
        <w:ind w:left="0" w:leftChars="0" w:firstLine="0" w:firstLineChars="0"/>
        <w:textAlignment w:val="auto"/>
        <w:rPr>
          <w:rFonts w:hint="eastAsia" w:ascii="宋体" w:hAnsi="宋体" w:eastAsia="宋体" w:cs="宋体"/>
          <w:b/>
          <w:bCs w:val="0"/>
          <w:sz w:val="24"/>
          <w:szCs w:val="24"/>
          <w:lang w:val="en-US" w:eastAsia="zh-CN"/>
        </w:rPr>
      </w:pPr>
      <w:bookmarkStart w:id="39" w:name="_Toc144974540"/>
      <w:bookmarkStart w:id="40" w:name="_Toc152045572"/>
      <w:bookmarkStart w:id="41" w:name="_Toc152042348"/>
      <w:bookmarkStart w:id="42" w:name="_Toc285809509"/>
      <w:bookmarkStart w:id="43" w:name="_Toc179632590"/>
      <w:r>
        <w:rPr>
          <w:rFonts w:hint="eastAsia" w:cs="宋体"/>
          <w:b/>
          <w:bCs w:val="0"/>
          <w:sz w:val="24"/>
          <w:szCs w:val="24"/>
          <w:lang w:val="en-US" w:eastAsia="zh-CN"/>
        </w:rPr>
        <w:t>8</w:t>
      </w:r>
      <w:r>
        <w:rPr>
          <w:rFonts w:hint="eastAsia" w:ascii="宋体" w:hAnsi="宋体" w:eastAsia="宋体" w:cs="宋体"/>
          <w:b/>
          <w:bCs w:val="0"/>
          <w:sz w:val="24"/>
          <w:szCs w:val="24"/>
          <w:lang w:val="en-US" w:eastAsia="zh-CN"/>
        </w:rPr>
        <w:t>.1 重新招标</w:t>
      </w:r>
      <w:bookmarkEnd w:id="39"/>
      <w:bookmarkEnd w:id="40"/>
      <w:bookmarkEnd w:id="41"/>
      <w:bookmarkEnd w:id="42"/>
      <w:bookmarkEnd w:id="43"/>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有下列情形之一的，</w:t>
      </w:r>
      <w:r>
        <w:rPr>
          <w:rFonts w:hint="eastAsia" w:ascii="宋体" w:hAnsi="宋体" w:eastAsia="宋体" w:cs="宋体"/>
          <w:sz w:val="24"/>
          <w:szCs w:val="24"/>
          <w:lang w:eastAsia="zh-CN"/>
        </w:rPr>
        <w:t>采购人</w:t>
      </w:r>
      <w:r>
        <w:rPr>
          <w:rFonts w:hint="eastAsia" w:ascii="宋体" w:hAnsi="宋体" w:eastAsia="宋体" w:cs="宋体"/>
          <w:sz w:val="24"/>
          <w:szCs w:val="24"/>
        </w:rPr>
        <w:t>将重新招标：</w:t>
      </w:r>
    </w:p>
    <w:p>
      <w:pPr>
        <w:spacing w:line="480" w:lineRule="exact"/>
        <w:ind w:firstLine="410" w:firstLineChars="171"/>
        <w:rPr>
          <w:rFonts w:hint="eastAsia" w:ascii="宋体" w:hAnsi="宋体" w:eastAsia="宋体" w:cs="宋体"/>
          <w:sz w:val="24"/>
          <w:szCs w:val="24"/>
        </w:rPr>
      </w:pPr>
      <w:r>
        <w:rPr>
          <w:rFonts w:hint="eastAsia" w:ascii="宋体" w:hAnsi="宋体" w:eastAsia="宋体" w:cs="宋体"/>
          <w:sz w:val="24"/>
          <w:szCs w:val="24"/>
        </w:rPr>
        <w:t>（1）投标截止时间止，</w:t>
      </w:r>
      <w:r>
        <w:rPr>
          <w:rFonts w:hint="eastAsia" w:ascii="宋体" w:hAnsi="宋体" w:eastAsia="宋体" w:cs="宋体"/>
          <w:sz w:val="24"/>
          <w:szCs w:val="24"/>
          <w:lang w:eastAsia="zh-CN"/>
        </w:rPr>
        <w:t>供应商</w:t>
      </w:r>
      <w:r>
        <w:rPr>
          <w:rFonts w:hint="eastAsia" w:ascii="宋体" w:hAnsi="宋体" w:eastAsia="宋体" w:cs="宋体"/>
          <w:sz w:val="24"/>
          <w:szCs w:val="24"/>
        </w:rPr>
        <w:t>少于3个的；</w:t>
      </w:r>
    </w:p>
    <w:p>
      <w:pPr>
        <w:spacing w:line="480" w:lineRule="exact"/>
        <w:ind w:firstLine="410" w:firstLineChars="171"/>
        <w:rPr>
          <w:rFonts w:hint="eastAsia" w:ascii="宋体" w:hAnsi="宋体" w:eastAsia="宋体" w:cs="宋体"/>
          <w:color w:val="auto"/>
          <w:sz w:val="24"/>
          <w:szCs w:val="24"/>
        </w:rPr>
      </w:pPr>
      <w:r>
        <w:rPr>
          <w:rFonts w:hint="eastAsia" w:ascii="宋体" w:hAnsi="宋体" w:eastAsia="宋体" w:cs="宋体"/>
          <w:color w:val="auto"/>
          <w:sz w:val="24"/>
          <w:szCs w:val="24"/>
        </w:rPr>
        <w:t>（2）经</w:t>
      </w:r>
      <w:r>
        <w:rPr>
          <w:rFonts w:hint="eastAsia" w:ascii="宋体" w:hAnsi="宋体" w:eastAsia="宋体" w:cs="宋体"/>
          <w:color w:val="auto"/>
          <w:sz w:val="24"/>
          <w:szCs w:val="24"/>
          <w:lang w:val="en-US" w:eastAsia="zh-CN"/>
        </w:rPr>
        <w:t>磋商小组</w:t>
      </w:r>
      <w:r>
        <w:rPr>
          <w:rFonts w:hint="eastAsia" w:ascii="宋体" w:hAnsi="宋体" w:eastAsia="宋体" w:cs="宋体"/>
          <w:color w:val="auto"/>
          <w:sz w:val="24"/>
          <w:szCs w:val="24"/>
        </w:rPr>
        <w:t>评审，合格</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不足3个的，</w:t>
      </w:r>
      <w:r>
        <w:rPr>
          <w:rFonts w:hint="eastAsia" w:ascii="宋体" w:hAnsi="宋体" w:eastAsia="宋体" w:cs="宋体"/>
          <w:color w:val="auto"/>
          <w:sz w:val="24"/>
          <w:szCs w:val="24"/>
          <w:lang w:eastAsia="zh-CN"/>
        </w:rPr>
        <w:t>磋商小组</w:t>
      </w:r>
      <w:r>
        <w:rPr>
          <w:rFonts w:hint="eastAsia" w:ascii="宋体" w:hAnsi="宋体" w:eastAsia="宋体" w:cs="宋体"/>
          <w:color w:val="auto"/>
          <w:sz w:val="24"/>
          <w:szCs w:val="24"/>
        </w:rPr>
        <w:t>应当否决全部投标。</w:t>
      </w:r>
    </w:p>
    <w:p>
      <w:pPr>
        <w:spacing w:line="600" w:lineRule="exact"/>
        <w:ind w:left="0" w:leftChars="0" w:firstLine="0" w:firstLineChars="0"/>
        <w:rPr>
          <w:rFonts w:hint="eastAsia" w:ascii="宋体" w:hAnsi="宋体" w:eastAsia="宋体" w:cs="宋体"/>
          <w:b/>
          <w:sz w:val="24"/>
          <w:szCs w:val="24"/>
        </w:rPr>
      </w:pPr>
      <w:bookmarkStart w:id="44" w:name="_Toc152042349"/>
      <w:bookmarkStart w:id="45" w:name="_Toc144974541"/>
      <w:bookmarkStart w:id="46" w:name="_Toc179632591"/>
      <w:bookmarkStart w:id="47" w:name="_Toc152045573"/>
      <w:bookmarkStart w:id="48" w:name="_Toc285809510"/>
      <w:r>
        <w:rPr>
          <w:rFonts w:hint="eastAsia" w:cs="宋体"/>
          <w:b/>
          <w:sz w:val="24"/>
          <w:szCs w:val="24"/>
          <w:lang w:val="en-US" w:eastAsia="zh-CN"/>
        </w:rPr>
        <w:t>8</w:t>
      </w:r>
      <w:r>
        <w:rPr>
          <w:rFonts w:hint="eastAsia" w:ascii="宋体" w:hAnsi="宋体" w:eastAsia="宋体" w:cs="宋体"/>
          <w:b/>
          <w:sz w:val="24"/>
          <w:szCs w:val="24"/>
        </w:rPr>
        <w:t>.2 不再招标</w:t>
      </w:r>
      <w:bookmarkEnd w:id="44"/>
      <w:bookmarkEnd w:id="45"/>
      <w:bookmarkEnd w:id="46"/>
      <w:bookmarkEnd w:id="47"/>
      <w:bookmarkEnd w:id="48"/>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重新招标后</w:t>
      </w:r>
      <w:r>
        <w:rPr>
          <w:rFonts w:hint="eastAsia" w:ascii="宋体" w:hAnsi="宋体" w:eastAsia="宋体" w:cs="宋体"/>
          <w:sz w:val="24"/>
          <w:szCs w:val="24"/>
          <w:lang w:eastAsia="zh-CN"/>
        </w:rPr>
        <w:t>供应商</w:t>
      </w:r>
      <w:r>
        <w:rPr>
          <w:rFonts w:hint="eastAsia" w:ascii="宋体" w:hAnsi="宋体" w:eastAsia="宋体" w:cs="宋体"/>
          <w:sz w:val="24"/>
          <w:szCs w:val="24"/>
        </w:rPr>
        <w:t>仍少于3个或者所有投标被否决的，属于必须审批或核准的项目，经原审批或核准部门批准后不再进行招标。</w:t>
      </w:r>
    </w:p>
    <w:p>
      <w:pPr>
        <w:pStyle w:val="4"/>
        <w:spacing w:line="480" w:lineRule="exact"/>
        <w:ind w:left="0" w:leftChars="0" w:firstLine="0" w:firstLineChars="0"/>
        <w:rPr>
          <w:rFonts w:hint="eastAsia" w:ascii="宋体" w:hAnsi="宋体" w:eastAsia="宋体" w:cs="宋体"/>
          <w:sz w:val="24"/>
          <w:szCs w:val="24"/>
        </w:rPr>
      </w:pPr>
      <w:bookmarkStart w:id="49" w:name="_Toc11513"/>
      <w:bookmarkStart w:id="50" w:name="_Toc152045574"/>
      <w:bookmarkStart w:id="51" w:name="_Toc179632592"/>
      <w:bookmarkStart w:id="52" w:name="_Toc2604"/>
      <w:bookmarkStart w:id="53" w:name="_Toc152042350"/>
      <w:bookmarkStart w:id="54" w:name="_Toc144974542"/>
      <w:bookmarkStart w:id="55" w:name="_Toc285809511"/>
      <w:bookmarkStart w:id="56" w:name="_Toc32439"/>
      <w:r>
        <w:rPr>
          <w:rFonts w:hint="eastAsia" w:cs="宋体"/>
          <w:sz w:val="24"/>
          <w:szCs w:val="24"/>
          <w:lang w:val="en-US" w:eastAsia="zh-CN"/>
        </w:rPr>
        <w:t>9</w:t>
      </w:r>
      <w:r>
        <w:rPr>
          <w:rFonts w:hint="eastAsia" w:ascii="宋体" w:hAnsi="宋体" w:eastAsia="宋体" w:cs="宋体"/>
          <w:sz w:val="24"/>
          <w:szCs w:val="24"/>
        </w:rPr>
        <w:t>、纪律和监督</w:t>
      </w:r>
      <w:bookmarkEnd w:id="49"/>
      <w:bookmarkEnd w:id="50"/>
      <w:bookmarkEnd w:id="51"/>
      <w:bookmarkEnd w:id="52"/>
      <w:bookmarkEnd w:id="53"/>
      <w:bookmarkEnd w:id="54"/>
      <w:bookmarkEnd w:id="55"/>
      <w:bookmarkEnd w:id="56"/>
    </w:p>
    <w:p>
      <w:pPr>
        <w:spacing w:line="600" w:lineRule="exact"/>
        <w:ind w:left="0" w:leftChars="0" w:firstLine="0" w:firstLineChars="0"/>
        <w:rPr>
          <w:rFonts w:hint="eastAsia" w:ascii="宋体" w:hAnsi="宋体" w:eastAsia="宋体" w:cs="宋体"/>
          <w:b/>
          <w:bCs w:val="0"/>
          <w:sz w:val="24"/>
          <w:szCs w:val="24"/>
          <w:lang w:val="en-US" w:eastAsia="zh-CN"/>
        </w:rPr>
      </w:pPr>
      <w:bookmarkStart w:id="57" w:name="_Toc285809512"/>
      <w:bookmarkStart w:id="58" w:name="_Toc152042351"/>
      <w:bookmarkStart w:id="59" w:name="_Toc179632593"/>
      <w:bookmarkStart w:id="60" w:name="_Toc144974543"/>
      <w:bookmarkStart w:id="61" w:name="_Toc152045575"/>
      <w:r>
        <w:rPr>
          <w:rFonts w:hint="eastAsia" w:cs="宋体"/>
          <w:b/>
          <w:bCs w:val="0"/>
          <w:sz w:val="24"/>
          <w:szCs w:val="24"/>
          <w:lang w:val="en-US" w:eastAsia="zh-CN"/>
        </w:rPr>
        <w:t>9</w:t>
      </w:r>
      <w:r>
        <w:rPr>
          <w:rFonts w:hint="eastAsia" w:ascii="宋体" w:hAnsi="宋体" w:eastAsia="宋体" w:cs="宋体"/>
          <w:b/>
          <w:bCs w:val="0"/>
          <w:sz w:val="24"/>
          <w:szCs w:val="24"/>
          <w:lang w:val="en-US" w:eastAsia="zh-CN"/>
        </w:rPr>
        <w:t>.1 对采购人的纪律要求</w:t>
      </w:r>
      <w:bookmarkEnd w:id="57"/>
      <w:bookmarkEnd w:id="58"/>
      <w:bookmarkEnd w:id="59"/>
      <w:bookmarkEnd w:id="60"/>
      <w:bookmarkEnd w:id="61"/>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采购人</w:t>
      </w:r>
      <w:r>
        <w:rPr>
          <w:rFonts w:hint="eastAsia" w:ascii="宋体" w:hAnsi="宋体" w:eastAsia="宋体" w:cs="宋体"/>
          <w:sz w:val="24"/>
          <w:szCs w:val="24"/>
        </w:rPr>
        <w:t>不得泄漏招标投标活动中应当保密的情况和资料，不得与</w:t>
      </w:r>
      <w:r>
        <w:rPr>
          <w:rFonts w:hint="eastAsia" w:ascii="宋体" w:hAnsi="宋体" w:eastAsia="宋体" w:cs="宋体"/>
          <w:sz w:val="24"/>
          <w:szCs w:val="24"/>
          <w:lang w:eastAsia="zh-CN"/>
        </w:rPr>
        <w:t>供应商</w:t>
      </w:r>
      <w:r>
        <w:rPr>
          <w:rFonts w:hint="eastAsia" w:ascii="宋体" w:hAnsi="宋体" w:eastAsia="宋体" w:cs="宋体"/>
          <w:sz w:val="24"/>
          <w:szCs w:val="24"/>
        </w:rPr>
        <w:t>串通损害国家利益、社会公共利益或者他人合法权益。</w:t>
      </w:r>
    </w:p>
    <w:p>
      <w:pPr>
        <w:spacing w:line="600" w:lineRule="exact"/>
        <w:ind w:left="0" w:leftChars="0" w:firstLine="0" w:firstLineChars="0"/>
        <w:rPr>
          <w:rFonts w:hint="eastAsia" w:ascii="宋体" w:hAnsi="宋体" w:eastAsia="宋体" w:cs="宋体"/>
          <w:b/>
          <w:bCs w:val="0"/>
          <w:sz w:val="24"/>
          <w:szCs w:val="24"/>
          <w:lang w:val="en-US" w:eastAsia="zh-CN"/>
        </w:rPr>
      </w:pPr>
      <w:bookmarkStart w:id="62" w:name="_Toc285809513"/>
      <w:bookmarkStart w:id="63" w:name="_Toc152042352"/>
      <w:bookmarkStart w:id="64" w:name="_Toc179632594"/>
      <w:bookmarkStart w:id="65" w:name="_Toc152045576"/>
      <w:bookmarkStart w:id="66" w:name="_Toc144974544"/>
      <w:r>
        <w:rPr>
          <w:rFonts w:hint="eastAsia" w:cs="宋体"/>
          <w:b/>
          <w:bCs w:val="0"/>
          <w:sz w:val="24"/>
          <w:szCs w:val="24"/>
          <w:lang w:val="en-US" w:eastAsia="zh-CN"/>
        </w:rPr>
        <w:t>9</w:t>
      </w:r>
      <w:r>
        <w:rPr>
          <w:rFonts w:hint="eastAsia" w:ascii="宋体" w:hAnsi="宋体" w:eastAsia="宋体" w:cs="宋体"/>
          <w:b/>
          <w:bCs w:val="0"/>
          <w:sz w:val="24"/>
          <w:szCs w:val="24"/>
          <w:lang w:val="en-US" w:eastAsia="zh-CN"/>
        </w:rPr>
        <w:t>.2 对供应商的纪律要求</w:t>
      </w:r>
      <w:bookmarkEnd w:id="62"/>
      <w:bookmarkEnd w:id="63"/>
      <w:bookmarkEnd w:id="64"/>
      <w:bookmarkEnd w:id="65"/>
      <w:bookmarkEnd w:id="66"/>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不得相互串通投标或者与</w:t>
      </w:r>
      <w:r>
        <w:rPr>
          <w:rFonts w:hint="eastAsia" w:ascii="宋体" w:hAnsi="宋体" w:eastAsia="宋体" w:cs="宋体"/>
          <w:sz w:val="24"/>
          <w:szCs w:val="24"/>
          <w:lang w:eastAsia="zh-CN"/>
        </w:rPr>
        <w:t>采购人</w:t>
      </w:r>
      <w:r>
        <w:rPr>
          <w:rFonts w:hint="eastAsia" w:ascii="宋体" w:hAnsi="宋体" w:eastAsia="宋体" w:cs="宋体"/>
          <w:sz w:val="24"/>
          <w:szCs w:val="24"/>
        </w:rPr>
        <w:t>串通投标，不得向</w:t>
      </w:r>
      <w:r>
        <w:rPr>
          <w:rFonts w:hint="eastAsia" w:ascii="宋体" w:hAnsi="宋体" w:eastAsia="宋体" w:cs="宋体"/>
          <w:sz w:val="24"/>
          <w:szCs w:val="24"/>
          <w:lang w:eastAsia="zh-CN"/>
        </w:rPr>
        <w:t>采购人</w:t>
      </w:r>
      <w:r>
        <w:rPr>
          <w:rFonts w:hint="eastAsia" w:ascii="宋体" w:hAnsi="宋体" w:eastAsia="宋体" w:cs="宋体"/>
          <w:sz w:val="24"/>
          <w:szCs w:val="24"/>
        </w:rPr>
        <w:t>或者</w:t>
      </w:r>
      <w:r>
        <w:rPr>
          <w:rFonts w:hint="eastAsia" w:ascii="宋体" w:hAnsi="宋体" w:eastAsia="宋体" w:cs="宋体"/>
          <w:sz w:val="24"/>
          <w:szCs w:val="24"/>
          <w:lang w:eastAsia="zh-CN"/>
        </w:rPr>
        <w:t>磋商小组</w:t>
      </w:r>
      <w:r>
        <w:rPr>
          <w:rFonts w:hint="eastAsia" w:ascii="宋体" w:hAnsi="宋体" w:eastAsia="宋体" w:cs="宋体"/>
          <w:sz w:val="24"/>
          <w:szCs w:val="24"/>
        </w:rPr>
        <w:t>成员行贿谋取中标，不得以他人名义投标或者以其他方式弄虚作假骗取中标；</w:t>
      </w:r>
      <w:r>
        <w:rPr>
          <w:rFonts w:hint="eastAsia" w:ascii="宋体" w:hAnsi="宋体" w:eastAsia="宋体" w:cs="宋体"/>
          <w:sz w:val="24"/>
          <w:szCs w:val="24"/>
          <w:lang w:eastAsia="zh-CN"/>
        </w:rPr>
        <w:t>供应商</w:t>
      </w:r>
      <w:r>
        <w:rPr>
          <w:rFonts w:hint="eastAsia" w:ascii="宋体" w:hAnsi="宋体" w:eastAsia="宋体" w:cs="宋体"/>
          <w:sz w:val="24"/>
          <w:szCs w:val="24"/>
        </w:rPr>
        <w:t>不得以任何方式干扰、影响评标工作。</w:t>
      </w:r>
    </w:p>
    <w:p>
      <w:pPr>
        <w:spacing w:line="600" w:lineRule="exact"/>
        <w:ind w:left="0" w:leftChars="0" w:firstLine="0" w:firstLineChars="0"/>
        <w:rPr>
          <w:rFonts w:hint="eastAsia" w:ascii="宋体" w:hAnsi="宋体" w:eastAsia="宋体" w:cs="宋体"/>
          <w:b/>
          <w:bCs w:val="0"/>
          <w:sz w:val="24"/>
          <w:szCs w:val="24"/>
          <w:lang w:val="en-US" w:eastAsia="zh-CN"/>
        </w:rPr>
      </w:pPr>
      <w:bookmarkStart w:id="67" w:name="_Toc152045577"/>
      <w:bookmarkStart w:id="68" w:name="_Toc152042353"/>
      <w:bookmarkStart w:id="69" w:name="_Toc179632595"/>
      <w:bookmarkStart w:id="70" w:name="_Toc144974545"/>
      <w:bookmarkStart w:id="71" w:name="_Toc285809514"/>
      <w:r>
        <w:rPr>
          <w:rFonts w:hint="eastAsia" w:cs="宋体"/>
          <w:b/>
          <w:bCs w:val="0"/>
          <w:sz w:val="24"/>
          <w:szCs w:val="24"/>
          <w:lang w:val="en-US" w:eastAsia="zh-CN"/>
        </w:rPr>
        <w:t>9</w:t>
      </w:r>
      <w:r>
        <w:rPr>
          <w:rFonts w:hint="eastAsia" w:ascii="宋体" w:hAnsi="宋体" w:eastAsia="宋体" w:cs="宋体"/>
          <w:b/>
          <w:bCs w:val="0"/>
          <w:sz w:val="24"/>
          <w:szCs w:val="24"/>
          <w:lang w:val="en-US" w:eastAsia="zh-CN"/>
        </w:rPr>
        <w:t>.3 对磋商小组成员的纪律要求</w:t>
      </w:r>
      <w:bookmarkEnd w:id="67"/>
      <w:bookmarkEnd w:id="68"/>
      <w:bookmarkEnd w:id="69"/>
      <w:bookmarkEnd w:id="70"/>
      <w:bookmarkEnd w:id="71"/>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磋商小组</w:t>
      </w:r>
      <w:r>
        <w:rPr>
          <w:rFonts w:hint="eastAsia" w:ascii="宋体" w:hAnsi="宋体" w:eastAsia="宋体" w:cs="宋体"/>
          <w:sz w:val="24"/>
          <w:szCs w:val="24"/>
        </w:rPr>
        <w:t>成员不得收受他人的财物或者其他好处，不得向他人透漏对</w:t>
      </w:r>
      <w:r>
        <w:rPr>
          <w:rFonts w:hint="eastAsia" w:ascii="宋体" w:hAnsi="宋体" w:eastAsia="宋体" w:cs="宋体"/>
          <w:sz w:val="24"/>
          <w:szCs w:val="24"/>
          <w:lang w:eastAsia="zh-CN"/>
        </w:rPr>
        <w:t>响应文件</w:t>
      </w:r>
      <w:r>
        <w:rPr>
          <w:rFonts w:hint="eastAsia" w:ascii="宋体" w:hAnsi="宋体" w:eastAsia="宋体" w:cs="宋体"/>
          <w:sz w:val="24"/>
          <w:szCs w:val="24"/>
        </w:rPr>
        <w:t>的评审和比较、</w:t>
      </w:r>
      <w:r>
        <w:rPr>
          <w:rFonts w:hint="eastAsia" w:ascii="宋体" w:hAnsi="宋体" w:eastAsia="宋体" w:cs="宋体"/>
          <w:sz w:val="24"/>
          <w:szCs w:val="24"/>
          <w:lang w:eastAsia="zh-CN"/>
        </w:rPr>
        <w:t>成交候选人</w:t>
      </w:r>
      <w:r>
        <w:rPr>
          <w:rFonts w:hint="eastAsia" w:ascii="宋体" w:hAnsi="宋体" w:eastAsia="宋体" w:cs="宋体"/>
          <w:sz w:val="24"/>
          <w:szCs w:val="24"/>
        </w:rPr>
        <w:t>的推荐情况以及评标有关的其他情况。在评标活动中，</w:t>
      </w:r>
      <w:r>
        <w:rPr>
          <w:rFonts w:hint="eastAsia" w:ascii="宋体" w:hAnsi="宋体" w:eastAsia="宋体" w:cs="宋体"/>
          <w:sz w:val="24"/>
          <w:szCs w:val="24"/>
          <w:lang w:eastAsia="zh-CN"/>
        </w:rPr>
        <w:t>磋商小组</w:t>
      </w:r>
      <w:r>
        <w:rPr>
          <w:rFonts w:hint="eastAsia" w:ascii="宋体" w:hAnsi="宋体" w:eastAsia="宋体" w:cs="宋体"/>
          <w:sz w:val="24"/>
          <w:szCs w:val="24"/>
        </w:rPr>
        <w:t>成员不得擅离职守，影响评标程序正常进行，不得使用第</w:t>
      </w:r>
      <w:r>
        <w:rPr>
          <w:rFonts w:hint="eastAsia" w:ascii="宋体" w:hAnsi="宋体" w:eastAsia="宋体" w:cs="宋体"/>
          <w:sz w:val="24"/>
          <w:szCs w:val="24"/>
          <w:lang w:val="en-US" w:eastAsia="zh-CN"/>
        </w:rPr>
        <w:t>三</w:t>
      </w:r>
      <w:r>
        <w:rPr>
          <w:rFonts w:hint="eastAsia" w:ascii="宋体" w:hAnsi="宋体" w:eastAsia="宋体" w:cs="宋体"/>
          <w:sz w:val="24"/>
          <w:szCs w:val="24"/>
        </w:rPr>
        <w:t>章“</w:t>
      </w:r>
      <w:r>
        <w:rPr>
          <w:rFonts w:hint="eastAsia" w:ascii="宋体" w:hAnsi="宋体" w:eastAsia="宋体" w:cs="宋体"/>
          <w:sz w:val="24"/>
          <w:szCs w:val="24"/>
          <w:lang w:val="en-US" w:eastAsia="zh-CN"/>
        </w:rPr>
        <w:t>竞争性磋商评审办法</w:t>
      </w:r>
      <w:r>
        <w:rPr>
          <w:rFonts w:hint="eastAsia" w:ascii="宋体" w:hAnsi="宋体" w:eastAsia="宋体" w:cs="宋体"/>
          <w:sz w:val="24"/>
          <w:szCs w:val="24"/>
        </w:rPr>
        <w:t>”没有规定的评审因素和标准进行评标。</w:t>
      </w:r>
    </w:p>
    <w:p>
      <w:pPr>
        <w:spacing w:line="600" w:lineRule="exact"/>
        <w:ind w:left="0" w:leftChars="0" w:firstLine="0" w:firstLineChars="0"/>
        <w:rPr>
          <w:rFonts w:hint="eastAsia" w:ascii="宋体" w:hAnsi="宋体" w:eastAsia="宋体" w:cs="宋体"/>
          <w:b/>
          <w:bCs w:val="0"/>
          <w:sz w:val="24"/>
          <w:szCs w:val="24"/>
          <w:lang w:val="en-US" w:eastAsia="zh-CN"/>
        </w:rPr>
      </w:pPr>
      <w:bookmarkStart w:id="72" w:name="_Toc179632596"/>
      <w:bookmarkStart w:id="73" w:name="_Toc152042354"/>
      <w:bookmarkStart w:id="74" w:name="_Toc285809515"/>
      <w:bookmarkStart w:id="75" w:name="_Toc152045578"/>
      <w:bookmarkStart w:id="76" w:name="_Toc144974546"/>
      <w:r>
        <w:rPr>
          <w:rFonts w:hint="eastAsia" w:cs="宋体"/>
          <w:b/>
          <w:bCs w:val="0"/>
          <w:sz w:val="24"/>
          <w:szCs w:val="24"/>
          <w:lang w:val="en-US" w:eastAsia="zh-CN"/>
        </w:rPr>
        <w:t>9</w:t>
      </w:r>
      <w:r>
        <w:rPr>
          <w:rFonts w:hint="eastAsia" w:ascii="宋体" w:hAnsi="宋体" w:eastAsia="宋体" w:cs="宋体"/>
          <w:b/>
          <w:bCs w:val="0"/>
          <w:sz w:val="24"/>
          <w:szCs w:val="24"/>
          <w:lang w:val="en-US" w:eastAsia="zh-CN"/>
        </w:rPr>
        <w:t>.4 对与评标活动有关的工作人员的纪律要求</w:t>
      </w:r>
      <w:bookmarkEnd w:id="72"/>
      <w:bookmarkEnd w:id="73"/>
      <w:bookmarkEnd w:id="74"/>
      <w:bookmarkEnd w:id="75"/>
    </w:p>
    <w:p>
      <w:pPr>
        <w:spacing w:line="480" w:lineRule="exact"/>
        <w:ind w:firstLine="480" w:firstLineChars="200"/>
        <w:rPr>
          <w:rFonts w:hint="eastAsia" w:ascii="宋体" w:hAnsi="宋体" w:eastAsia="宋体" w:cs="宋体"/>
          <w:sz w:val="24"/>
          <w:szCs w:val="24"/>
        </w:rPr>
      </w:pPr>
      <w:bookmarkStart w:id="77" w:name="_Toc152042355"/>
      <w:r>
        <w:rPr>
          <w:rFonts w:hint="eastAsia" w:ascii="宋体" w:hAnsi="宋体" w:eastAsia="宋体" w:cs="宋体"/>
          <w:sz w:val="24"/>
          <w:szCs w:val="24"/>
        </w:rPr>
        <w:t>与评标活动有关的工作人员不得收受他人的财物或者其他好处，不得向他人透漏对</w:t>
      </w:r>
      <w:r>
        <w:rPr>
          <w:rFonts w:hint="eastAsia" w:ascii="宋体" w:hAnsi="宋体" w:eastAsia="宋体" w:cs="宋体"/>
          <w:sz w:val="24"/>
          <w:szCs w:val="24"/>
          <w:lang w:eastAsia="zh-CN"/>
        </w:rPr>
        <w:t>响应文件</w:t>
      </w:r>
      <w:r>
        <w:rPr>
          <w:rFonts w:hint="eastAsia" w:ascii="宋体" w:hAnsi="宋体" w:eastAsia="宋体" w:cs="宋体"/>
          <w:sz w:val="24"/>
          <w:szCs w:val="24"/>
        </w:rPr>
        <w:t>的评审和比较、</w:t>
      </w:r>
      <w:r>
        <w:rPr>
          <w:rFonts w:hint="eastAsia" w:ascii="宋体" w:hAnsi="宋体" w:eastAsia="宋体" w:cs="宋体"/>
          <w:sz w:val="24"/>
          <w:szCs w:val="24"/>
          <w:lang w:eastAsia="zh-CN"/>
        </w:rPr>
        <w:t>成交候选人</w:t>
      </w:r>
      <w:r>
        <w:rPr>
          <w:rFonts w:hint="eastAsia" w:ascii="宋体" w:hAnsi="宋体" w:eastAsia="宋体" w:cs="宋体"/>
          <w:sz w:val="24"/>
          <w:szCs w:val="24"/>
        </w:rPr>
        <w:t>的推荐情况以及评标有关的其他情况。在评标活动中，与评标活动有关的工作人员不得擅离职守，影响评标程序正常进行。</w:t>
      </w:r>
      <w:bookmarkEnd w:id="77"/>
    </w:p>
    <w:bookmarkEnd w:id="76"/>
    <w:p>
      <w:pPr>
        <w:pStyle w:val="4"/>
        <w:spacing w:line="480" w:lineRule="exact"/>
        <w:ind w:left="0" w:leftChars="0" w:firstLine="0" w:firstLineChars="0"/>
        <w:rPr>
          <w:rFonts w:hint="eastAsia" w:ascii="宋体" w:hAnsi="宋体" w:eastAsia="宋体" w:cs="宋体"/>
          <w:b/>
          <w:bCs/>
          <w:sz w:val="24"/>
          <w:szCs w:val="24"/>
        </w:rPr>
      </w:pPr>
      <w:bookmarkStart w:id="78" w:name="_Toc21765"/>
      <w:bookmarkStart w:id="79" w:name="_Toc15381"/>
      <w:bookmarkStart w:id="80" w:name="_Toc12137"/>
      <w:r>
        <w:rPr>
          <w:rFonts w:hint="eastAsia" w:cs="宋体"/>
          <w:b/>
          <w:bCs/>
          <w:sz w:val="24"/>
          <w:szCs w:val="24"/>
          <w:lang w:val="en-US" w:eastAsia="zh-CN"/>
        </w:rPr>
        <w:t>10</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处罚和质疑</w:t>
      </w:r>
      <w:bookmarkEnd w:id="78"/>
      <w:bookmarkEnd w:id="79"/>
      <w:bookmarkEnd w:id="80"/>
    </w:p>
    <w:p>
      <w:pPr>
        <w:spacing w:line="600" w:lineRule="exact"/>
        <w:ind w:left="0" w:leftChars="0" w:firstLine="0" w:firstLineChars="0"/>
        <w:rPr>
          <w:rFonts w:hint="eastAsia" w:ascii="宋体" w:hAnsi="宋体" w:eastAsia="宋体" w:cs="宋体"/>
          <w:b/>
          <w:bCs w:val="0"/>
          <w:sz w:val="24"/>
          <w:szCs w:val="24"/>
          <w:lang w:val="en-US" w:eastAsia="zh-CN"/>
        </w:rPr>
      </w:pPr>
      <w:bookmarkStart w:id="81" w:name="_Toc428972283"/>
      <w:bookmarkStart w:id="82" w:name="_Toc10217"/>
      <w:bookmarkStart w:id="83" w:name="_Toc402430909"/>
      <w:r>
        <w:rPr>
          <w:rFonts w:hint="eastAsia" w:cs="宋体"/>
          <w:b/>
          <w:bCs w:val="0"/>
          <w:sz w:val="24"/>
          <w:szCs w:val="24"/>
          <w:lang w:val="en-US" w:eastAsia="zh-CN"/>
        </w:rPr>
        <w:t>10</w:t>
      </w:r>
      <w:r>
        <w:rPr>
          <w:rFonts w:hint="eastAsia" w:ascii="宋体" w:hAnsi="宋体" w:eastAsia="宋体" w:cs="宋体"/>
          <w:b/>
          <w:bCs w:val="0"/>
          <w:sz w:val="24"/>
          <w:szCs w:val="24"/>
          <w:lang w:val="en-US" w:eastAsia="zh-CN"/>
        </w:rPr>
        <w:t>.1 处罚</w:t>
      </w:r>
    </w:p>
    <w:p>
      <w:pPr>
        <w:spacing w:line="48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（1）发生下列情况之一，被列入不良记录名单，供应商今后参与同类政府采购项目的机会可能会受到影响：</w:t>
      </w:r>
    </w:p>
    <w:p>
      <w:pPr>
        <w:spacing w:line="48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1)开标后在投标有效期内，供应商撤回其投标； </w:t>
      </w:r>
    </w:p>
    <w:p>
      <w:pPr>
        <w:spacing w:line="48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cs="宋体"/>
          <w:sz w:val="24"/>
          <w:szCs w:val="24"/>
          <w:lang w:val="en-US" w:eastAsia="zh-CN"/>
        </w:rPr>
        <w:t>成交供应商</w:t>
      </w:r>
      <w:r>
        <w:rPr>
          <w:rFonts w:hint="eastAsia" w:ascii="宋体" w:hAnsi="宋体" w:eastAsia="宋体" w:cs="宋体"/>
          <w:sz w:val="24"/>
          <w:szCs w:val="24"/>
          <w:lang w:val="en-US" w:eastAsia="zh-CN"/>
        </w:rPr>
        <w:t xml:space="preserve">未按本竞争性磋商规定签订政府采购合同； </w:t>
      </w:r>
    </w:p>
    <w:p>
      <w:pPr>
        <w:spacing w:line="48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cs="宋体"/>
          <w:sz w:val="24"/>
          <w:szCs w:val="24"/>
          <w:lang w:val="en-US" w:eastAsia="zh-CN"/>
        </w:rPr>
        <w:t>成交供应商</w:t>
      </w:r>
      <w:r>
        <w:rPr>
          <w:rFonts w:hint="eastAsia" w:ascii="宋体" w:hAnsi="宋体" w:eastAsia="宋体" w:cs="宋体"/>
          <w:sz w:val="24"/>
          <w:szCs w:val="24"/>
          <w:lang w:val="en-US" w:eastAsia="zh-CN"/>
        </w:rPr>
        <w:t>与采购人订立背离合同实质性内容的其它协议；</w:t>
      </w:r>
    </w:p>
    <w:p>
      <w:pPr>
        <w:spacing w:line="48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4)将中标项目转让给他人，或者在响应文件中未说明，且未经采购代理机构和采购人同意，将中标项目分包给他人的； </w:t>
      </w:r>
    </w:p>
    <w:p>
      <w:pPr>
        <w:spacing w:line="48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cs="宋体"/>
          <w:sz w:val="24"/>
          <w:szCs w:val="24"/>
          <w:lang w:val="en-US" w:eastAsia="zh-CN"/>
        </w:rPr>
        <w:t>成交供应商</w:t>
      </w:r>
      <w:r>
        <w:rPr>
          <w:rFonts w:hint="eastAsia" w:ascii="宋体" w:hAnsi="宋体" w:eastAsia="宋体" w:cs="宋体"/>
          <w:sz w:val="24"/>
          <w:szCs w:val="24"/>
          <w:lang w:val="en-US" w:eastAsia="zh-CN"/>
        </w:rPr>
        <w:t xml:space="preserve">其它未按竞争性磋商规定和合同约定履行义务的行为。 </w:t>
      </w:r>
    </w:p>
    <w:p>
      <w:pPr>
        <w:spacing w:line="600" w:lineRule="exact"/>
        <w:ind w:left="0" w:leftChars="0" w:firstLine="0" w:firstLineChars="0"/>
        <w:rPr>
          <w:rFonts w:hint="eastAsia" w:ascii="宋体" w:hAnsi="宋体" w:eastAsia="宋体" w:cs="宋体"/>
          <w:b/>
          <w:bCs w:val="0"/>
          <w:sz w:val="24"/>
          <w:szCs w:val="24"/>
          <w:lang w:val="en-US" w:eastAsia="zh-CN"/>
        </w:rPr>
      </w:pPr>
      <w:r>
        <w:rPr>
          <w:rFonts w:hint="eastAsia" w:cs="宋体"/>
          <w:b/>
          <w:bCs w:val="0"/>
          <w:sz w:val="24"/>
          <w:szCs w:val="24"/>
          <w:lang w:val="en-US" w:eastAsia="zh-CN"/>
        </w:rPr>
        <w:t>10</w:t>
      </w:r>
      <w:r>
        <w:rPr>
          <w:rFonts w:hint="eastAsia" w:ascii="宋体" w:hAnsi="宋体" w:eastAsia="宋体" w:cs="宋体"/>
          <w:b/>
          <w:bCs w:val="0"/>
          <w:sz w:val="24"/>
          <w:szCs w:val="24"/>
          <w:lang w:val="en-US" w:eastAsia="zh-CN"/>
        </w:rPr>
        <w:t>.2 质疑</w:t>
      </w:r>
    </w:p>
    <w:p>
      <w:pPr>
        <w:spacing w:line="48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供应商对采购活动事项有疑问的，可以向采购人或采购代理机构提出询问，采购人或采购代理机构将依法作出答复，但答复的内容不涉及商业秘密。</w:t>
      </w:r>
    </w:p>
    <w:p>
      <w:pPr>
        <w:pStyle w:val="4"/>
        <w:numPr>
          <w:ilvl w:val="0"/>
          <w:numId w:val="0"/>
        </w:numPr>
        <w:spacing w:line="480" w:lineRule="exact"/>
        <w:rPr>
          <w:rFonts w:hint="eastAsia" w:ascii="宋体" w:hAnsi="宋体" w:eastAsia="宋体" w:cs="宋体"/>
          <w:sz w:val="24"/>
          <w:szCs w:val="24"/>
        </w:rPr>
      </w:pPr>
      <w:bookmarkStart w:id="84" w:name="_Toc21025"/>
      <w:bookmarkStart w:id="85" w:name="_Toc10156"/>
      <w:bookmarkStart w:id="86" w:name="_Toc2351"/>
      <w:r>
        <w:rPr>
          <w:rFonts w:hint="eastAsia" w:ascii="宋体" w:hAnsi="宋体" w:eastAsia="宋体" w:cs="宋体"/>
          <w:sz w:val="24"/>
          <w:szCs w:val="24"/>
        </w:rPr>
        <w:t>1</w:t>
      </w:r>
      <w:r>
        <w:rPr>
          <w:rFonts w:hint="eastAsia" w:cs="宋体"/>
          <w:sz w:val="24"/>
          <w:szCs w:val="24"/>
          <w:lang w:val="en-US" w:eastAsia="zh-CN"/>
        </w:rPr>
        <w:t>1</w:t>
      </w:r>
      <w:r>
        <w:rPr>
          <w:rFonts w:hint="eastAsia" w:ascii="宋体" w:hAnsi="宋体" w:eastAsia="宋体" w:cs="宋体"/>
          <w:sz w:val="24"/>
          <w:szCs w:val="24"/>
        </w:rPr>
        <w:t xml:space="preserve">. </w:t>
      </w:r>
      <w:r>
        <w:rPr>
          <w:rFonts w:hint="eastAsia" w:ascii="宋体" w:hAnsi="宋体" w:eastAsia="宋体" w:cs="宋体"/>
          <w:b/>
          <w:bCs/>
          <w:sz w:val="24"/>
          <w:szCs w:val="24"/>
        </w:rPr>
        <w:t>保密和披露</w:t>
      </w:r>
      <w:bookmarkEnd w:id="84"/>
      <w:bookmarkEnd w:id="85"/>
      <w:bookmarkEnd w:id="86"/>
    </w:p>
    <w:p>
      <w:pPr>
        <w:spacing w:line="48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cs="宋体"/>
          <w:sz w:val="24"/>
          <w:szCs w:val="24"/>
          <w:lang w:val="en-US" w:eastAsia="zh-CN"/>
        </w:rPr>
        <w:t>1</w:t>
      </w:r>
      <w:r>
        <w:rPr>
          <w:rFonts w:hint="eastAsia" w:ascii="宋体" w:hAnsi="宋体" w:eastAsia="宋体" w:cs="宋体"/>
          <w:sz w:val="24"/>
          <w:szCs w:val="24"/>
          <w:lang w:val="en-US" w:eastAsia="zh-CN"/>
        </w:rPr>
        <w:t>.1供应商自领取竞争性磋商</w:t>
      </w:r>
      <w:r>
        <w:rPr>
          <w:rFonts w:hint="eastAsia" w:cs="宋体"/>
          <w:sz w:val="24"/>
          <w:szCs w:val="24"/>
          <w:lang w:val="en-US" w:eastAsia="zh-CN"/>
        </w:rPr>
        <w:t>文件</w:t>
      </w:r>
      <w:r>
        <w:rPr>
          <w:rFonts w:hint="eastAsia" w:ascii="宋体" w:hAnsi="宋体" w:eastAsia="宋体" w:cs="宋体"/>
          <w:sz w:val="24"/>
          <w:szCs w:val="24"/>
          <w:lang w:val="en-US" w:eastAsia="zh-CN"/>
        </w:rPr>
        <w:t>之日起，须承担本采购项目下保密义务，不得将因本次采购获得的信息向其他人外传。</w:t>
      </w:r>
    </w:p>
    <w:p>
      <w:pPr>
        <w:spacing w:line="48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cs="宋体"/>
          <w:sz w:val="24"/>
          <w:szCs w:val="24"/>
          <w:lang w:val="en-US" w:eastAsia="zh-CN"/>
        </w:rPr>
        <w:t>1</w:t>
      </w:r>
      <w:r>
        <w:rPr>
          <w:rFonts w:hint="eastAsia" w:ascii="宋体" w:hAnsi="宋体" w:eastAsia="宋体" w:cs="宋体"/>
          <w:sz w:val="24"/>
          <w:szCs w:val="24"/>
          <w:lang w:val="en-US" w:eastAsia="zh-CN"/>
        </w:rPr>
        <w:t xml:space="preserve">.2采购代理机构有权将供应商提供的所有资料向其他政府部门或有关的非政府机构负责评审的人员或与评审有关的人员披露。 </w:t>
      </w:r>
    </w:p>
    <w:p>
      <w:pPr>
        <w:spacing w:line="48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cs="宋体"/>
          <w:sz w:val="24"/>
          <w:szCs w:val="24"/>
          <w:lang w:val="en-US" w:eastAsia="zh-CN"/>
        </w:rPr>
        <w:t>1</w:t>
      </w:r>
      <w:r>
        <w:rPr>
          <w:rFonts w:hint="eastAsia" w:ascii="宋体" w:hAnsi="宋体" w:eastAsia="宋体" w:cs="宋体"/>
          <w:sz w:val="24"/>
          <w:szCs w:val="24"/>
          <w:lang w:val="en-US" w:eastAsia="zh-CN"/>
        </w:rPr>
        <w:t>.3在下列情形下：当发布中标公告和其它公告时，当国家机关调查、审查、审计时，以及其他符合法律规定的情形下，无须事先征求供应商或</w:t>
      </w:r>
      <w:r>
        <w:rPr>
          <w:rFonts w:hint="eastAsia" w:cs="宋体"/>
          <w:sz w:val="24"/>
          <w:szCs w:val="24"/>
          <w:lang w:val="en-US" w:eastAsia="zh-CN"/>
        </w:rPr>
        <w:t>成交供应商</w:t>
      </w:r>
      <w:r>
        <w:rPr>
          <w:rFonts w:hint="eastAsia" w:ascii="宋体" w:hAnsi="宋体" w:eastAsia="宋体" w:cs="宋体"/>
          <w:sz w:val="24"/>
          <w:szCs w:val="24"/>
          <w:lang w:val="en-US" w:eastAsia="zh-CN"/>
        </w:rPr>
        <w:t>同意而可以披露关于采购 过程、合同文本、签署情况的资料、供应商或</w:t>
      </w:r>
      <w:r>
        <w:rPr>
          <w:rFonts w:hint="eastAsia" w:cs="宋体"/>
          <w:sz w:val="24"/>
          <w:szCs w:val="24"/>
          <w:lang w:val="en-US" w:eastAsia="zh-CN"/>
        </w:rPr>
        <w:t>成交供应商</w:t>
      </w:r>
      <w:r>
        <w:rPr>
          <w:rFonts w:hint="eastAsia" w:ascii="宋体" w:hAnsi="宋体" w:eastAsia="宋体" w:cs="宋体"/>
          <w:sz w:val="24"/>
          <w:szCs w:val="24"/>
          <w:lang w:val="en-US" w:eastAsia="zh-CN"/>
        </w:rPr>
        <w:t>的名称及地址、采购内容的有关信息 以及补充条款等。对任何已经公布过的内容或与之内容相同的资料无须再承担保密责任。</w:t>
      </w:r>
    </w:p>
    <w:p>
      <w:pPr>
        <w:pStyle w:val="4"/>
        <w:numPr>
          <w:ilvl w:val="0"/>
          <w:numId w:val="0"/>
        </w:numPr>
        <w:spacing w:line="480" w:lineRule="exact"/>
        <w:rPr>
          <w:rFonts w:hint="eastAsia" w:ascii="宋体" w:hAnsi="宋体" w:eastAsia="宋体" w:cs="宋体"/>
          <w:sz w:val="24"/>
          <w:szCs w:val="24"/>
          <w:lang w:val="en-US" w:eastAsia="zh-CN"/>
        </w:rPr>
      </w:pPr>
      <w:bookmarkStart w:id="87" w:name="_Toc21832"/>
      <w:bookmarkStart w:id="88" w:name="_Toc27763"/>
      <w:bookmarkStart w:id="89" w:name="_Toc6741"/>
      <w:r>
        <w:rPr>
          <w:rFonts w:hint="eastAsia" w:ascii="宋体" w:hAnsi="宋体" w:eastAsia="宋体" w:cs="宋体"/>
          <w:sz w:val="24"/>
          <w:szCs w:val="24"/>
          <w:lang w:val="en-US" w:eastAsia="zh-CN"/>
        </w:rPr>
        <w:t>1</w:t>
      </w:r>
      <w:r>
        <w:rPr>
          <w:rFonts w:hint="eastAsia" w:cs="宋体"/>
          <w:sz w:val="24"/>
          <w:szCs w:val="24"/>
          <w:lang w:val="en-US" w:eastAsia="zh-CN"/>
        </w:rPr>
        <w:t>2</w:t>
      </w:r>
      <w:r>
        <w:rPr>
          <w:rFonts w:hint="eastAsia" w:ascii="宋体" w:hAnsi="宋体" w:eastAsia="宋体" w:cs="宋体"/>
          <w:sz w:val="24"/>
          <w:szCs w:val="24"/>
        </w:rPr>
        <w:t>. 关于</w:t>
      </w:r>
      <w:bookmarkEnd w:id="81"/>
      <w:bookmarkEnd w:id="82"/>
      <w:bookmarkEnd w:id="83"/>
      <w:bookmarkEnd w:id="87"/>
      <w:bookmarkEnd w:id="88"/>
      <w:bookmarkEnd w:id="89"/>
      <w:r>
        <w:rPr>
          <w:rFonts w:hint="eastAsia" w:ascii="宋体" w:hAnsi="宋体" w:eastAsia="宋体" w:cs="宋体"/>
          <w:sz w:val="24"/>
          <w:szCs w:val="24"/>
          <w:lang w:val="en-US" w:eastAsia="zh-CN"/>
        </w:rPr>
        <w:t>无效投标</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cs="宋体"/>
          <w:sz w:val="24"/>
          <w:szCs w:val="24"/>
          <w:lang w:val="en-US" w:eastAsia="zh-CN"/>
        </w:rPr>
        <w:t>2</w:t>
      </w:r>
      <w:r>
        <w:rPr>
          <w:rFonts w:hint="eastAsia" w:ascii="宋体" w:hAnsi="宋体" w:eastAsia="宋体" w:cs="宋体"/>
          <w:sz w:val="24"/>
          <w:szCs w:val="24"/>
        </w:rPr>
        <w:t>.1</w:t>
      </w:r>
      <w:r>
        <w:rPr>
          <w:rFonts w:hint="eastAsia" w:ascii="宋体" w:hAnsi="宋体" w:eastAsia="宋体" w:cs="宋体"/>
          <w:sz w:val="24"/>
          <w:szCs w:val="24"/>
          <w:lang w:eastAsia="zh-CN"/>
        </w:rPr>
        <w:t>供应商</w:t>
      </w:r>
      <w:r>
        <w:rPr>
          <w:rFonts w:hint="eastAsia" w:ascii="宋体" w:hAnsi="宋体" w:eastAsia="宋体" w:cs="宋体"/>
          <w:sz w:val="24"/>
          <w:szCs w:val="24"/>
        </w:rPr>
        <w:t>有下列情况之一，其投标视为</w:t>
      </w:r>
      <w:r>
        <w:rPr>
          <w:rFonts w:hint="eastAsia" w:ascii="宋体" w:hAnsi="宋体" w:eastAsia="宋体" w:cs="宋体"/>
          <w:sz w:val="24"/>
          <w:szCs w:val="24"/>
          <w:lang w:val="en-US" w:eastAsia="zh-CN"/>
        </w:rPr>
        <w:t>无效</w:t>
      </w:r>
      <w:r>
        <w:rPr>
          <w:rFonts w:hint="eastAsia" w:ascii="宋体" w:hAnsi="宋体" w:eastAsia="宋体" w:cs="宋体"/>
          <w:sz w:val="24"/>
          <w:szCs w:val="24"/>
        </w:rPr>
        <w:t>标：</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cs="宋体"/>
          <w:sz w:val="24"/>
          <w:szCs w:val="24"/>
          <w:lang w:val="en-US" w:eastAsia="zh-CN"/>
        </w:rPr>
        <w:t>2</w:t>
      </w: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w:t>
      </w:r>
      <w:r>
        <w:rPr>
          <w:rFonts w:hint="eastAsia" w:ascii="宋体" w:hAnsi="宋体" w:eastAsia="宋体" w:cs="宋体"/>
          <w:sz w:val="24"/>
          <w:szCs w:val="24"/>
          <w:lang w:eastAsia="zh-CN"/>
        </w:rPr>
        <w:t>供应商</w:t>
      </w:r>
      <w:r>
        <w:rPr>
          <w:rFonts w:hint="eastAsia" w:ascii="宋体" w:hAnsi="宋体" w:eastAsia="宋体" w:cs="宋体"/>
          <w:sz w:val="24"/>
          <w:szCs w:val="24"/>
        </w:rPr>
        <w:t>提供的</w:t>
      </w:r>
      <w:r>
        <w:rPr>
          <w:rFonts w:hint="eastAsia" w:ascii="宋体" w:hAnsi="宋体" w:eastAsia="宋体" w:cs="宋体"/>
          <w:sz w:val="24"/>
          <w:szCs w:val="24"/>
          <w:lang w:eastAsia="zh-CN"/>
        </w:rPr>
        <w:t>响应文件</w:t>
      </w:r>
      <w:r>
        <w:rPr>
          <w:rFonts w:hint="eastAsia" w:ascii="宋体" w:hAnsi="宋体" w:eastAsia="宋体" w:cs="宋体"/>
          <w:sz w:val="24"/>
          <w:szCs w:val="24"/>
        </w:rPr>
        <w:t>不完整；</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cs="宋体"/>
          <w:sz w:val="24"/>
          <w:szCs w:val="24"/>
          <w:lang w:val="en-US" w:eastAsia="zh-CN"/>
        </w:rPr>
        <w:t>2</w:t>
      </w: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 </w:t>
      </w:r>
      <w:r>
        <w:rPr>
          <w:rFonts w:hint="eastAsia" w:ascii="宋体" w:hAnsi="宋体" w:eastAsia="宋体" w:cs="宋体"/>
          <w:sz w:val="24"/>
          <w:szCs w:val="24"/>
          <w:lang w:eastAsia="zh-CN"/>
        </w:rPr>
        <w:t>响应文件</w:t>
      </w:r>
      <w:r>
        <w:rPr>
          <w:rFonts w:hint="eastAsia" w:ascii="宋体" w:hAnsi="宋体" w:eastAsia="宋体" w:cs="宋体"/>
          <w:sz w:val="24"/>
          <w:szCs w:val="24"/>
        </w:rPr>
        <w:t>未按</w:t>
      </w:r>
      <w:r>
        <w:rPr>
          <w:rFonts w:hint="eastAsia" w:ascii="宋体" w:hAnsi="宋体" w:eastAsia="宋体" w:cs="宋体"/>
          <w:sz w:val="24"/>
          <w:szCs w:val="24"/>
          <w:lang w:eastAsia="zh-CN"/>
        </w:rPr>
        <w:t>竞争性磋商</w:t>
      </w:r>
      <w:r>
        <w:rPr>
          <w:rFonts w:hint="eastAsia" w:ascii="宋体" w:hAnsi="宋体" w:eastAsia="宋体" w:cs="宋体"/>
          <w:sz w:val="24"/>
          <w:szCs w:val="24"/>
        </w:rPr>
        <w:t>的规定签署、密封、标记的；</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cs="宋体"/>
          <w:sz w:val="24"/>
          <w:szCs w:val="24"/>
          <w:lang w:val="en-US" w:eastAsia="zh-CN"/>
        </w:rPr>
        <w:t>2</w:t>
      </w: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未按规定报价；</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cs="宋体"/>
          <w:sz w:val="24"/>
          <w:szCs w:val="24"/>
          <w:lang w:val="en-US" w:eastAsia="zh-CN"/>
        </w:rPr>
        <w:t>2</w:t>
      </w: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 </w:t>
      </w:r>
      <w:r>
        <w:rPr>
          <w:rFonts w:hint="eastAsia" w:ascii="宋体" w:hAnsi="宋体" w:eastAsia="宋体" w:cs="宋体"/>
          <w:sz w:val="24"/>
          <w:szCs w:val="24"/>
          <w:lang w:eastAsia="zh-CN"/>
        </w:rPr>
        <w:t>供应商</w:t>
      </w:r>
      <w:r>
        <w:rPr>
          <w:rFonts w:hint="eastAsia" w:ascii="宋体" w:hAnsi="宋体" w:eastAsia="宋体" w:cs="宋体"/>
          <w:sz w:val="24"/>
          <w:szCs w:val="24"/>
        </w:rPr>
        <w:t>对</w:t>
      </w:r>
      <w:r>
        <w:rPr>
          <w:rFonts w:hint="eastAsia" w:ascii="宋体" w:hAnsi="宋体" w:eastAsia="宋体" w:cs="宋体"/>
          <w:sz w:val="24"/>
          <w:szCs w:val="24"/>
          <w:lang w:eastAsia="zh-CN"/>
        </w:rPr>
        <w:t>竞争性磋商</w:t>
      </w:r>
      <w:r>
        <w:rPr>
          <w:rFonts w:hint="eastAsia" w:ascii="宋体" w:hAnsi="宋体" w:eastAsia="宋体" w:cs="宋体"/>
          <w:sz w:val="24"/>
          <w:szCs w:val="24"/>
        </w:rPr>
        <w:t>的要求未做出实质性响应；</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cs="宋体"/>
          <w:sz w:val="24"/>
          <w:szCs w:val="24"/>
          <w:lang w:val="en-US" w:eastAsia="zh-CN"/>
        </w:rPr>
        <w:t>2</w:t>
      </w: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w:t>
      </w:r>
      <w:r>
        <w:rPr>
          <w:rFonts w:hint="eastAsia" w:ascii="宋体" w:hAnsi="宋体" w:eastAsia="宋体" w:cs="宋体"/>
          <w:sz w:val="24"/>
          <w:szCs w:val="24"/>
          <w:lang w:eastAsia="zh-CN"/>
        </w:rPr>
        <w:t>供应商</w:t>
      </w:r>
      <w:r>
        <w:rPr>
          <w:rFonts w:hint="eastAsia" w:ascii="宋体" w:hAnsi="宋体" w:eastAsia="宋体" w:cs="宋体"/>
          <w:sz w:val="24"/>
          <w:szCs w:val="24"/>
        </w:rPr>
        <w:t>不参加开标仪式及询标事宜；</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cs="宋体"/>
          <w:sz w:val="24"/>
          <w:szCs w:val="24"/>
          <w:lang w:val="en-US" w:eastAsia="zh-CN"/>
        </w:rPr>
        <w:t>2</w:t>
      </w: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 法律、法规规定的其他情况。</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cs="宋体"/>
          <w:sz w:val="24"/>
          <w:szCs w:val="24"/>
          <w:lang w:val="en-US" w:eastAsia="zh-CN"/>
        </w:rPr>
        <w:t>2</w:t>
      </w:r>
      <w:r>
        <w:rPr>
          <w:rFonts w:hint="eastAsia" w:ascii="宋体" w:hAnsi="宋体" w:eastAsia="宋体" w:cs="宋体"/>
          <w:sz w:val="24"/>
          <w:szCs w:val="24"/>
        </w:rPr>
        <w:t xml:space="preserve">.2 </w:t>
      </w:r>
      <w:r>
        <w:rPr>
          <w:rFonts w:hint="eastAsia" w:ascii="宋体" w:hAnsi="宋体" w:eastAsia="宋体" w:cs="宋体"/>
          <w:sz w:val="24"/>
          <w:szCs w:val="24"/>
          <w:lang w:eastAsia="zh-CN"/>
        </w:rPr>
        <w:t>供应商</w:t>
      </w:r>
      <w:r>
        <w:rPr>
          <w:rFonts w:hint="eastAsia" w:ascii="宋体" w:hAnsi="宋体" w:eastAsia="宋体" w:cs="宋体"/>
          <w:sz w:val="24"/>
          <w:szCs w:val="24"/>
        </w:rPr>
        <w:t>有下列情况之一，其投标不但被视为</w:t>
      </w:r>
      <w:r>
        <w:rPr>
          <w:rFonts w:hint="eastAsia" w:ascii="宋体" w:hAnsi="宋体" w:eastAsia="宋体" w:cs="宋体"/>
          <w:sz w:val="24"/>
          <w:szCs w:val="24"/>
          <w:lang w:val="en-US" w:eastAsia="zh-CN"/>
        </w:rPr>
        <w:t>无效</w:t>
      </w:r>
      <w:r>
        <w:rPr>
          <w:rFonts w:hint="eastAsia" w:ascii="宋体" w:hAnsi="宋体" w:eastAsia="宋体" w:cs="宋体"/>
          <w:sz w:val="24"/>
          <w:szCs w:val="24"/>
        </w:rPr>
        <w:t>标，而且招标代理人将严格依照《中华人民共和国</w:t>
      </w:r>
      <w:r>
        <w:rPr>
          <w:rFonts w:hint="eastAsia" w:ascii="宋体" w:hAnsi="宋体" w:eastAsia="宋体" w:cs="宋体"/>
          <w:sz w:val="24"/>
          <w:szCs w:val="24"/>
          <w:lang w:val="en-US" w:eastAsia="zh-CN"/>
        </w:rPr>
        <w:t>政府采购法</w:t>
      </w:r>
      <w:r>
        <w:rPr>
          <w:rFonts w:hint="eastAsia" w:ascii="宋体" w:hAnsi="宋体" w:eastAsia="宋体" w:cs="宋体"/>
          <w:sz w:val="24"/>
          <w:szCs w:val="24"/>
        </w:rPr>
        <w:t>》及有关法律、法规及规章的规定行使其权利。</w:t>
      </w:r>
      <w:r>
        <w:rPr>
          <w:rFonts w:hint="eastAsia" w:ascii="宋体" w:hAnsi="宋体" w:eastAsia="宋体" w:cs="宋体"/>
          <w:sz w:val="24"/>
          <w:szCs w:val="24"/>
          <w:lang w:eastAsia="zh-CN"/>
        </w:rPr>
        <w:t>供应商</w:t>
      </w:r>
      <w:r>
        <w:rPr>
          <w:rFonts w:hint="eastAsia" w:ascii="宋体" w:hAnsi="宋体" w:eastAsia="宋体" w:cs="宋体"/>
          <w:sz w:val="24"/>
          <w:szCs w:val="24"/>
        </w:rPr>
        <w:t>给招标代理人造成损失的，招标代理人有索赔的权利；给</w:t>
      </w:r>
      <w:r>
        <w:rPr>
          <w:rFonts w:hint="eastAsia" w:ascii="宋体" w:hAnsi="宋体" w:eastAsia="宋体" w:cs="宋体"/>
          <w:sz w:val="24"/>
          <w:szCs w:val="24"/>
          <w:lang w:eastAsia="zh-CN"/>
        </w:rPr>
        <w:t>采购人</w:t>
      </w:r>
      <w:r>
        <w:rPr>
          <w:rFonts w:hint="eastAsia" w:ascii="宋体" w:hAnsi="宋体" w:eastAsia="宋体" w:cs="宋体"/>
          <w:sz w:val="24"/>
          <w:szCs w:val="24"/>
        </w:rPr>
        <w:t>造成损失的，应予以赔偿。</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cs="宋体"/>
          <w:sz w:val="24"/>
          <w:szCs w:val="24"/>
          <w:lang w:val="en-US" w:eastAsia="zh-CN"/>
        </w:rPr>
        <w:t>2</w:t>
      </w:r>
      <w:r>
        <w:rPr>
          <w:rFonts w:hint="eastAsia" w:ascii="宋体" w:hAnsi="宋体" w:eastAsia="宋体" w:cs="宋体"/>
          <w:sz w:val="24"/>
          <w:szCs w:val="24"/>
        </w:rPr>
        <w:t xml:space="preserve">.2.1 </w:t>
      </w:r>
      <w:r>
        <w:rPr>
          <w:rFonts w:hint="eastAsia" w:ascii="宋体" w:hAnsi="宋体" w:eastAsia="宋体" w:cs="宋体"/>
          <w:sz w:val="24"/>
          <w:szCs w:val="24"/>
          <w:lang w:eastAsia="zh-CN"/>
        </w:rPr>
        <w:t>供应商</w:t>
      </w:r>
      <w:r>
        <w:rPr>
          <w:rFonts w:hint="eastAsia" w:ascii="宋体" w:hAnsi="宋体" w:eastAsia="宋体" w:cs="宋体"/>
          <w:sz w:val="24"/>
          <w:szCs w:val="24"/>
        </w:rPr>
        <w:t>提供的有关资格、资质证明文件不真实，提供虚假投标材料；</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cs="宋体"/>
          <w:sz w:val="24"/>
          <w:szCs w:val="24"/>
          <w:lang w:val="en-US" w:eastAsia="zh-CN"/>
        </w:rPr>
        <w:t>2</w:t>
      </w:r>
      <w:r>
        <w:rPr>
          <w:rFonts w:hint="eastAsia" w:ascii="宋体" w:hAnsi="宋体" w:eastAsia="宋体" w:cs="宋体"/>
          <w:sz w:val="24"/>
          <w:szCs w:val="24"/>
        </w:rPr>
        <w:t xml:space="preserve">.2.2 </w:t>
      </w:r>
      <w:r>
        <w:rPr>
          <w:rFonts w:hint="eastAsia" w:ascii="宋体" w:hAnsi="宋体" w:eastAsia="宋体" w:cs="宋体"/>
          <w:sz w:val="24"/>
          <w:szCs w:val="24"/>
          <w:lang w:eastAsia="zh-CN"/>
        </w:rPr>
        <w:t>供应商</w:t>
      </w:r>
      <w:r>
        <w:rPr>
          <w:rFonts w:hint="eastAsia" w:ascii="宋体" w:hAnsi="宋体" w:eastAsia="宋体" w:cs="宋体"/>
          <w:sz w:val="24"/>
          <w:szCs w:val="24"/>
        </w:rPr>
        <w:t>存在第二章</w:t>
      </w:r>
      <w:r>
        <w:rPr>
          <w:rFonts w:hint="eastAsia" w:ascii="宋体" w:hAnsi="宋体" w:eastAsia="宋体" w:cs="宋体"/>
          <w:sz w:val="24"/>
          <w:szCs w:val="24"/>
          <w:lang w:eastAsia="zh-CN"/>
        </w:rPr>
        <w:t>供应商</w:t>
      </w:r>
      <w:r>
        <w:rPr>
          <w:rFonts w:hint="eastAsia" w:ascii="宋体" w:hAnsi="宋体" w:eastAsia="宋体" w:cs="宋体"/>
          <w:sz w:val="24"/>
          <w:szCs w:val="24"/>
        </w:rPr>
        <w:t>须知第1.4.2款任一情形的；</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cs="宋体"/>
          <w:sz w:val="24"/>
          <w:szCs w:val="24"/>
          <w:lang w:val="en-US" w:eastAsia="zh-CN"/>
        </w:rPr>
        <w:t>2</w:t>
      </w:r>
      <w:r>
        <w:rPr>
          <w:rFonts w:hint="eastAsia" w:ascii="宋体" w:hAnsi="宋体" w:eastAsia="宋体" w:cs="宋体"/>
          <w:sz w:val="24"/>
          <w:szCs w:val="24"/>
        </w:rPr>
        <w:t xml:space="preserve">.2.3 </w:t>
      </w:r>
      <w:r>
        <w:rPr>
          <w:rFonts w:hint="eastAsia" w:ascii="宋体" w:hAnsi="宋体" w:eastAsia="宋体" w:cs="宋体"/>
          <w:sz w:val="24"/>
          <w:szCs w:val="24"/>
          <w:lang w:eastAsia="zh-CN"/>
        </w:rPr>
        <w:t>供应商</w:t>
      </w:r>
      <w:r>
        <w:rPr>
          <w:rFonts w:hint="eastAsia" w:ascii="宋体" w:hAnsi="宋体" w:eastAsia="宋体" w:cs="宋体"/>
          <w:sz w:val="24"/>
          <w:szCs w:val="24"/>
        </w:rPr>
        <w:t>在投标有效期内撤回投标；</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cs="宋体"/>
          <w:sz w:val="24"/>
          <w:szCs w:val="24"/>
          <w:lang w:val="en-US" w:eastAsia="zh-CN"/>
        </w:rPr>
        <w:t>2</w:t>
      </w:r>
      <w:r>
        <w:rPr>
          <w:rFonts w:hint="eastAsia" w:ascii="宋体" w:hAnsi="宋体" w:eastAsia="宋体" w:cs="宋体"/>
          <w:sz w:val="24"/>
          <w:szCs w:val="24"/>
        </w:rPr>
        <w:t>.2.4 在整个评标过程中，</w:t>
      </w:r>
      <w:r>
        <w:rPr>
          <w:rFonts w:hint="eastAsia" w:ascii="宋体" w:hAnsi="宋体" w:eastAsia="宋体" w:cs="宋体"/>
          <w:sz w:val="24"/>
          <w:szCs w:val="24"/>
          <w:lang w:eastAsia="zh-CN"/>
        </w:rPr>
        <w:t>供应商</w:t>
      </w:r>
      <w:r>
        <w:rPr>
          <w:rFonts w:hint="eastAsia" w:ascii="宋体" w:hAnsi="宋体" w:eastAsia="宋体" w:cs="宋体"/>
          <w:sz w:val="24"/>
          <w:szCs w:val="24"/>
        </w:rPr>
        <w:t>有企图影响招标结果的任何活动；</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cs="宋体"/>
          <w:sz w:val="24"/>
          <w:szCs w:val="24"/>
          <w:lang w:val="en-US" w:eastAsia="zh-CN"/>
        </w:rPr>
        <w:t>2</w:t>
      </w:r>
      <w:r>
        <w:rPr>
          <w:rFonts w:hint="eastAsia" w:ascii="宋体" w:hAnsi="宋体" w:eastAsia="宋体" w:cs="宋体"/>
          <w:sz w:val="24"/>
          <w:szCs w:val="24"/>
        </w:rPr>
        <w:t xml:space="preserve">.2.5 </w:t>
      </w:r>
      <w:r>
        <w:rPr>
          <w:rFonts w:hint="eastAsia" w:ascii="宋体" w:hAnsi="宋体" w:eastAsia="宋体" w:cs="宋体"/>
          <w:sz w:val="24"/>
          <w:szCs w:val="24"/>
          <w:lang w:eastAsia="zh-CN"/>
        </w:rPr>
        <w:t>供应商</w:t>
      </w:r>
      <w:r>
        <w:rPr>
          <w:rFonts w:hint="eastAsia" w:ascii="宋体" w:hAnsi="宋体" w:eastAsia="宋体" w:cs="宋体"/>
          <w:sz w:val="24"/>
          <w:szCs w:val="24"/>
        </w:rPr>
        <w:t>串通投标；</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cs="宋体"/>
          <w:sz w:val="24"/>
          <w:szCs w:val="24"/>
          <w:lang w:val="en-US" w:eastAsia="zh-CN"/>
        </w:rPr>
        <w:t>2</w:t>
      </w:r>
      <w:r>
        <w:rPr>
          <w:rFonts w:hint="eastAsia" w:ascii="宋体" w:hAnsi="宋体" w:eastAsia="宋体" w:cs="宋体"/>
          <w:sz w:val="24"/>
          <w:szCs w:val="24"/>
        </w:rPr>
        <w:t xml:space="preserve">.2.6 </w:t>
      </w:r>
      <w:r>
        <w:rPr>
          <w:rFonts w:hint="eastAsia" w:ascii="宋体" w:hAnsi="宋体" w:eastAsia="宋体" w:cs="宋体"/>
          <w:sz w:val="24"/>
          <w:szCs w:val="24"/>
          <w:lang w:eastAsia="zh-CN"/>
        </w:rPr>
        <w:t>供应商</w:t>
      </w:r>
      <w:r>
        <w:rPr>
          <w:rFonts w:hint="eastAsia" w:ascii="宋体" w:hAnsi="宋体" w:eastAsia="宋体" w:cs="宋体"/>
          <w:sz w:val="24"/>
          <w:szCs w:val="24"/>
        </w:rPr>
        <w:t>向</w:t>
      </w:r>
      <w:r>
        <w:rPr>
          <w:rFonts w:hint="eastAsia" w:ascii="宋体" w:hAnsi="宋体" w:eastAsia="宋体" w:cs="宋体"/>
          <w:sz w:val="24"/>
          <w:szCs w:val="24"/>
          <w:lang w:eastAsia="zh-CN"/>
        </w:rPr>
        <w:t>采购人</w:t>
      </w:r>
      <w:r>
        <w:rPr>
          <w:rFonts w:hint="eastAsia" w:ascii="宋体" w:hAnsi="宋体" w:eastAsia="宋体" w:cs="宋体"/>
          <w:sz w:val="24"/>
          <w:szCs w:val="24"/>
        </w:rPr>
        <w:t>、招标代理人提供不正当利益；</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cs="宋体"/>
          <w:sz w:val="24"/>
          <w:szCs w:val="24"/>
          <w:lang w:val="en-US" w:eastAsia="zh-CN"/>
        </w:rPr>
        <w:t>2</w:t>
      </w:r>
      <w:r>
        <w:rPr>
          <w:rFonts w:hint="eastAsia" w:ascii="宋体" w:hAnsi="宋体" w:eastAsia="宋体" w:cs="宋体"/>
          <w:sz w:val="24"/>
          <w:szCs w:val="24"/>
        </w:rPr>
        <w:t xml:space="preserve">.2.7 </w:t>
      </w:r>
      <w:r>
        <w:rPr>
          <w:rFonts w:hint="eastAsia" w:cs="宋体"/>
          <w:sz w:val="24"/>
          <w:szCs w:val="24"/>
          <w:lang w:eastAsia="zh-CN"/>
        </w:rPr>
        <w:t>成交供应商</w:t>
      </w:r>
      <w:r>
        <w:rPr>
          <w:rFonts w:hint="eastAsia" w:ascii="宋体" w:hAnsi="宋体" w:eastAsia="宋体" w:cs="宋体"/>
          <w:sz w:val="24"/>
          <w:szCs w:val="24"/>
        </w:rPr>
        <w:t xml:space="preserve">不按规定的要求签订合同； </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cs="宋体"/>
          <w:sz w:val="24"/>
          <w:szCs w:val="24"/>
          <w:lang w:val="en-US" w:eastAsia="zh-CN"/>
        </w:rPr>
        <w:t>2</w:t>
      </w:r>
      <w:r>
        <w:rPr>
          <w:rFonts w:hint="eastAsia" w:ascii="宋体" w:hAnsi="宋体" w:eastAsia="宋体" w:cs="宋体"/>
          <w:sz w:val="24"/>
          <w:szCs w:val="24"/>
        </w:rPr>
        <w:t>.2.8 法律、法规规定的其他情况。</w:t>
      </w:r>
    </w:p>
    <w:p>
      <w:pPr>
        <w:pStyle w:val="4"/>
        <w:spacing w:line="360" w:lineRule="auto"/>
        <w:ind w:left="0" w:leftChars="0" w:firstLine="0" w:firstLineChars="0"/>
        <w:rPr>
          <w:rFonts w:hint="eastAsia" w:ascii="宋体" w:hAnsi="宋体" w:eastAsia="宋体" w:cs="宋体"/>
          <w:sz w:val="24"/>
          <w:szCs w:val="24"/>
        </w:rPr>
      </w:pPr>
      <w:bookmarkStart w:id="90" w:name="_Toc152045580"/>
      <w:bookmarkStart w:id="91" w:name="_Toc285809517"/>
      <w:bookmarkStart w:id="92" w:name="_Toc14751"/>
      <w:bookmarkStart w:id="93" w:name="_Toc144974547"/>
      <w:bookmarkStart w:id="94" w:name="_Toc152042357"/>
      <w:bookmarkStart w:id="95" w:name="_Toc11951"/>
      <w:bookmarkStart w:id="96" w:name="_Toc179632598"/>
      <w:bookmarkStart w:id="97" w:name="_Toc28565"/>
      <w:r>
        <w:rPr>
          <w:rFonts w:hint="eastAsia" w:ascii="宋体" w:hAnsi="宋体" w:eastAsia="宋体" w:cs="宋体"/>
          <w:sz w:val="24"/>
          <w:szCs w:val="24"/>
        </w:rPr>
        <w:t>1</w:t>
      </w:r>
      <w:r>
        <w:rPr>
          <w:rFonts w:hint="eastAsia" w:cs="宋体"/>
          <w:sz w:val="24"/>
          <w:szCs w:val="24"/>
          <w:lang w:val="en-US" w:eastAsia="zh-CN"/>
        </w:rPr>
        <w:t>3</w:t>
      </w:r>
      <w:r>
        <w:rPr>
          <w:rFonts w:hint="eastAsia" w:ascii="宋体" w:hAnsi="宋体" w:eastAsia="宋体" w:cs="宋体"/>
          <w:sz w:val="24"/>
          <w:szCs w:val="24"/>
        </w:rPr>
        <w:t>、需要补充的其他内容</w:t>
      </w:r>
      <w:bookmarkEnd w:id="90"/>
      <w:bookmarkEnd w:id="91"/>
      <w:bookmarkEnd w:id="92"/>
      <w:bookmarkEnd w:id="93"/>
      <w:bookmarkEnd w:id="94"/>
      <w:bookmarkEnd w:id="95"/>
      <w:bookmarkEnd w:id="96"/>
      <w:bookmarkEnd w:id="97"/>
    </w:p>
    <w:p>
      <w:pPr>
        <w:spacing w:line="360" w:lineRule="auto"/>
        <w:ind w:left="0" w:leftChars="0" w:firstLine="0" w:firstLineChars="0"/>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1</w:t>
      </w:r>
      <w:r>
        <w:rPr>
          <w:rFonts w:hint="eastAsia" w:cs="宋体"/>
          <w:b/>
          <w:bCs w:val="0"/>
          <w:sz w:val="24"/>
          <w:szCs w:val="24"/>
          <w:lang w:val="en-US" w:eastAsia="zh-CN"/>
        </w:rPr>
        <w:t>3</w:t>
      </w:r>
      <w:r>
        <w:rPr>
          <w:rFonts w:hint="eastAsia" w:ascii="宋体" w:hAnsi="宋体" w:eastAsia="宋体" w:cs="宋体"/>
          <w:b/>
          <w:bCs w:val="0"/>
          <w:sz w:val="24"/>
          <w:szCs w:val="24"/>
          <w:lang w:val="en-US" w:eastAsia="zh-CN"/>
        </w:rPr>
        <w:t>.1 政策性优惠政策</w:t>
      </w:r>
    </w:p>
    <w:p>
      <w:pPr>
        <w:pStyle w:val="37"/>
        <w:spacing w:line="360" w:lineRule="auto"/>
        <w:ind w:left="0" w:leftChars="0"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.1.1支持监狱企业发展</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给予监狱企业和戒毒企业（含新疆生产建设兵团）价格扣除:根据《关于政府采购支持监狱企业发展有关问题的通知》(财库[2014]68号)文件规定:在政府采购活动中，监狱企业视同小型、微型企业，享受预留份额、评审中价格扣除等政府采购促进中小企业发展的政府采购政策。</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开标时，供应商须提供省级及以上监狱管理局、戒毒管理局(含新疆生产建设兵团)出具的属于监狱企业的证明文件，否则不给予价格扣除。</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cs="宋体"/>
          <w:sz w:val="24"/>
          <w:szCs w:val="24"/>
          <w:lang w:val="en-US" w:eastAsia="zh-CN"/>
        </w:rPr>
        <w:t>3</w:t>
      </w:r>
      <w:r>
        <w:rPr>
          <w:rFonts w:hint="eastAsia" w:ascii="宋体" w:hAnsi="宋体" w:eastAsia="宋体" w:cs="宋体"/>
          <w:sz w:val="24"/>
          <w:szCs w:val="24"/>
          <w:lang w:val="en-US" w:eastAsia="zh-CN"/>
        </w:rPr>
        <w:t>.1.2促进残疾人就业政府采购政策</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根据《财政部民政部中国残疾人联合会关于促进残疾人就业政府采购政策的通知》财库(2017)141号文件规定，在政府采购活动中，残疾人福利性单位视同小型、微型企业，享受预留份额、评审中价格扣除等促进中小企业发展的政府采购政策。若供应商为残疾人福利性单位，须提供残疾人福利性单位声明函，并对声明的真实性负责。中标后随中标公告一并发出，接受社会监督。</w:t>
      </w:r>
    </w:p>
    <w:p>
      <w:pPr>
        <w:spacing w:line="360" w:lineRule="auto"/>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 xml:space="preserve">.1.3节能、环保政策 </w:t>
      </w:r>
    </w:p>
    <w:p>
      <w:pPr>
        <w:spacing w:line="360" w:lineRule="auto"/>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 xml:space="preserve">.1.4价格扣除幅度： </w:t>
      </w:r>
    </w:p>
    <w:p>
      <w:pPr>
        <w:spacing w:line="360" w:lineRule="auto"/>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节能产品(强制采购节能产品除外)价格分加分幅度：价格评标总分值的4%； </w:t>
      </w:r>
    </w:p>
    <w:p>
      <w:pPr>
        <w:spacing w:line="360" w:lineRule="auto"/>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节能产品(强制采购节能产品除外)技术分加分幅度：技术评标总分值的4%； </w:t>
      </w:r>
    </w:p>
    <w:p>
      <w:pPr>
        <w:spacing w:line="360" w:lineRule="auto"/>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环保产品价格分加分幅度：价格评标总分值的4%； </w:t>
      </w:r>
    </w:p>
    <w:p>
      <w:pPr>
        <w:spacing w:line="360" w:lineRule="auto"/>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环保产品技术分加分幅度：技术评标总分值的4%； </w:t>
      </w:r>
    </w:p>
    <w:p>
      <w:pPr>
        <w:spacing w:line="360" w:lineRule="auto"/>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 xml:space="preserve">.1.5 节能、环保产品应符合以下条件： </w:t>
      </w:r>
    </w:p>
    <w:p>
      <w:pPr>
        <w:spacing w:line="360" w:lineRule="auto"/>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（1）列入财政部、国家发展改革委制定最新公布的《节能产品政府采购清单》和财政部、环保部制定最新公布的《环境标志产品政府采购清单》的产品。 </w:t>
      </w:r>
    </w:p>
    <w:p>
      <w:pPr>
        <w:spacing w:line="360" w:lineRule="auto"/>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（2）属于政府强制采购节能产品的，投标产品必须在最新公布的《节能产品政府采购清单》内，否则按无效报价处理； </w:t>
      </w:r>
    </w:p>
    <w:p>
      <w:pPr>
        <w:spacing w:line="360" w:lineRule="auto"/>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 xml:space="preserve">.1.6 节能、环保产品证明材料 </w:t>
      </w:r>
    </w:p>
    <w:p>
      <w:pPr>
        <w:spacing w:line="360" w:lineRule="auto"/>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（1）如所投产品为节能（强制采购产品除外）、环保产品，须按规定格式逐项填写节能、环保产品明细表。 </w:t>
      </w:r>
    </w:p>
    <w:p>
      <w:pPr>
        <w:spacing w:line="360" w:lineRule="auto"/>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（2）供应商提供最新公布的《节能产品政府采购清单》、《环境标志产品政府采购清单》截图并加盖供应商公章。 </w:t>
      </w:r>
    </w:p>
    <w:p>
      <w:pPr>
        <w:spacing w:line="360" w:lineRule="auto"/>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（3）以上证明材料缺一项不予加分。 </w:t>
      </w:r>
    </w:p>
    <w:p>
      <w:pPr>
        <w:spacing w:line="360" w:lineRule="auto"/>
        <w:ind w:firstLine="480" w:firstLineChars="200"/>
        <w:jc w:val="left"/>
        <w:rPr>
          <w:rFonts w:hint="eastAsia" w:ascii="宋体" w:hAnsi="宋体" w:eastAsia="宋体" w:cs="宋体"/>
          <w:sz w:val="24"/>
          <w:szCs w:val="24"/>
          <w:highlight w:val="yellow"/>
        </w:rPr>
      </w:pPr>
      <w:r>
        <w:rPr>
          <w:rFonts w:hint="eastAsia" w:ascii="宋体" w:hAnsi="宋体" w:eastAsia="宋体" w:cs="宋体"/>
          <w:b w:val="0"/>
          <w:bCs w:val="0"/>
          <w:color w:val="auto"/>
          <w:sz w:val="24"/>
          <w:szCs w:val="24"/>
          <w:highlight w:val="none"/>
          <w:lang w:val="en-US" w:eastAsia="zh-CN"/>
        </w:rPr>
        <w:t>注：供应商所提供的材料或填写的内容必须真实、有效，如有虚假，一经查实报价无效或取消成交资格，并按照《中华人民共和国政府采购法》第七十七条第一款“提供虚假材料谋取中标的”进行处罚，给招标人造成损失的应承担赔偿责任。</w:t>
      </w:r>
    </w:p>
    <w:p>
      <w:pPr>
        <w:spacing w:line="600" w:lineRule="exact"/>
        <w:ind w:left="0" w:leftChars="0" w:firstLine="0" w:firstLineChars="0"/>
        <w:rPr>
          <w:rFonts w:hint="eastAsia" w:ascii="宋体" w:hAnsi="宋体" w:eastAsia="宋体" w:cs="宋体"/>
          <w:b/>
          <w:sz w:val="24"/>
          <w:szCs w:val="24"/>
        </w:rPr>
      </w:pPr>
      <w:r>
        <w:rPr>
          <w:rFonts w:hint="eastAsia" w:ascii="宋体" w:hAnsi="宋体" w:eastAsia="宋体" w:cs="宋体"/>
          <w:b/>
          <w:sz w:val="24"/>
          <w:szCs w:val="24"/>
        </w:rPr>
        <w:t>1</w:t>
      </w:r>
      <w:r>
        <w:rPr>
          <w:rFonts w:hint="eastAsia" w:cs="宋体"/>
          <w:b/>
          <w:sz w:val="24"/>
          <w:szCs w:val="24"/>
          <w:lang w:val="en-US" w:eastAsia="zh-CN"/>
        </w:rPr>
        <w:t>4</w:t>
      </w:r>
      <w:r>
        <w:rPr>
          <w:rFonts w:hint="eastAsia" w:ascii="宋体" w:hAnsi="宋体" w:eastAsia="宋体" w:cs="宋体"/>
          <w:b/>
          <w:sz w:val="24"/>
          <w:szCs w:val="24"/>
        </w:rPr>
        <w:t>、需要补充的其他内容</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见</w:t>
      </w:r>
      <w:r>
        <w:rPr>
          <w:rFonts w:hint="eastAsia" w:ascii="宋体" w:hAnsi="宋体" w:eastAsia="宋体" w:cs="宋体"/>
          <w:sz w:val="24"/>
          <w:szCs w:val="24"/>
          <w:lang w:val="en-US" w:eastAsia="zh-CN"/>
        </w:rPr>
        <w:t>供应商</w:t>
      </w:r>
      <w:r>
        <w:rPr>
          <w:rFonts w:hint="eastAsia" w:ascii="宋体" w:hAnsi="宋体" w:eastAsia="宋体" w:cs="宋体"/>
          <w:sz w:val="24"/>
          <w:szCs w:val="24"/>
        </w:rPr>
        <w:t>须知前附表。</w:t>
      </w:r>
    </w:p>
    <w:p>
      <w:pPr>
        <w:widowControl/>
        <w:spacing w:line="500" w:lineRule="exact"/>
        <w:ind w:firstLine="480" w:firstLineChars="200"/>
        <w:jc w:val="left"/>
        <w:rPr>
          <w:rFonts w:hint="eastAsia" w:ascii="宋体" w:hAnsi="宋体" w:eastAsia="宋体" w:cs="宋体"/>
          <w:kern w:val="0"/>
          <w:sz w:val="24"/>
          <w:lang w:val="zh-CN"/>
        </w:rPr>
      </w:pPr>
    </w:p>
    <w:p>
      <w:pPr>
        <w:spacing w:line="480" w:lineRule="exact"/>
        <w:ind w:firstLine="720" w:firstLineChars="200"/>
        <w:rPr>
          <w:rFonts w:hint="eastAsia" w:ascii="宋体" w:hAnsi="宋体" w:eastAsia="宋体" w:cs="宋体"/>
          <w:sz w:val="36"/>
          <w:szCs w:val="36"/>
        </w:rPr>
      </w:pPr>
    </w:p>
    <w:p>
      <w:pPr>
        <w:pStyle w:val="3"/>
        <w:spacing w:line="500" w:lineRule="exact"/>
        <w:rPr>
          <w:rFonts w:hint="eastAsia" w:ascii="宋体" w:hAnsi="宋体" w:eastAsia="宋体" w:cs="宋体"/>
          <w:sz w:val="36"/>
          <w:szCs w:val="36"/>
        </w:rPr>
      </w:pPr>
      <w:r>
        <w:rPr>
          <w:rFonts w:hint="eastAsia" w:ascii="宋体" w:hAnsi="宋体" w:eastAsia="宋体" w:cs="宋体"/>
          <w:sz w:val="36"/>
          <w:szCs w:val="36"/>
        </w:rPr>
        <w:br w:type="page"/>
      </w:r>
      <w:bookmarkStart w:id="98" w:name="_Toc24611"/>
      <w:bookmarkStart w:id="99" w:name="_Toc8675"/>
      <w:bookmarkStart w:id="100" w:name="_Toc11721"/>
      <w:r>
        <w:rPr>
          <w:rFonts w:hint="eastAsia" w:ascii="宋体" w:hAnsi="宋体" w:eastAsia="宋体" w:cs="宋体"/>
          <w:sz w:val="36"/>
          <w:szCs w:val="36"/>
        </w:rPr>
        <w:t>第三章 竞争性磋商办法</w:t>
      </w:r>
      <w:bookmarkEnd w:id="34"/>
      <w:bookmarkEnd w:id="35"/>
      <w:bookmarkEnd w:id="36"/>
      <w:bookmarkEnd w:id="37"/>
      <w:bookmarkEnd w:id="38"/>
      <w:bookmarkEnd w:id="98"/>
      <w:bookmarkEnd w:id="99"/>
      <w:bookmarkEnd w:id="100"/>
    </w:p>
    <w:p>
      <w:pPr>
        <w:spacing w:line="500" w:lineRule="exact"/>
        <w:outlineLvl w:val="1"/>
        <w:rPr>
          <w:rFonts w:hint="eastAsia" w:ascii="宋体" w:hAnsi="宋体" w:eastAsia="宋体" w:cs="宋体"/>
          <w:b/>
          <w:sz w:val="24"/>
        </w:rPr>
      </w:pPr>
      <w:bookmarkStart w:id="101" w:name="_Toc31727"/>
      <w:bookmarkStart w:id="102" w:name="_Toc489390345"/>
      <w:r>
        <w:rPr>
          <w:rFonts w:hint="eastAsia" w:ascii="宋体" w:hAnsi="宋体" w:eastAsia="宋体" w:cs="宋体"/>
          <w:b/>
          <w:sz w:val="24"/>
        </w:rPr>
        <w:t>一、磋商程序</w:t>
      </w:r>
      <w:bookmarkEnd w:id="101"/>
      <w:bookmarkEnd w:id="102"/>
    </w:p>
    <w:p>
      <w:pPr>
        <w:spacing w:line="500" w:lineRule="exact"/>
        <w:ind w:firstLine="435"/>
        <w:rPr>
          <w:rFonts w:hint="eastAsia" w:ascii="宋体" w:hAnsi="宋体" w:eastAsia="宋体" w:cs="宋体"/>
          <w:b/>
          <w:sz w:val="24"/>
        </w:rPr>
      </w:pPr>
      <w:r>
        <w:rPr>
          <w:rFonts w:hint="eastAsia" w:ascii="宋体" w:hAnsi="宋体" w:eastAsia="宋体" w:cs="宋体"/>
          <w:b/>
          <w:sz w:val="24"/>
        </w:rPr>
        <w:t>1、资格性审查。</w:t>
      </w:r>
    </w:p>
    <w:p>
      <w:pPr>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磋商开始后，磋商小组依据磋商文件规定，对资格</w:t>
      </w:r>
      <w:r>
        <w:rPr>
          <w:rFonts w:hint="eastAsia" w:ascii="宋体" w:hAnsi="宋体" w:eastAsia="宋体" w:cs="宋体"/>
          <w:sz w:val="24"/>
          <w:szCs w:val="24"/>
          <w:lang w:val="en-US" w:eastAsia="zh-CN"/>
        </w:rPr>
        <w:t>证明</w:t>
      </w:r>
      <w:r>
        <w:rPr>
          <w:rFonts w:hint="eastAsia" w:ascii="宋体" w:hAnsi="宋体" w:eastAsia="宋体" w:cs="宋体"/>
          <w:sz w:val="24"/>
          <w:szCs w:val="24"/>
          <w:lang w:eastAsia="zh-CN"/>
        </w:rPr>
        <w:t>材料进行审查，供应商应提供以下证件的原件，审查合格的供应商才有资格进行磋商和最终报价。</w:t>
      </w:r>
    </w:p>
    <w:p>
      <w:pPr>
        <w:pageBreakBefore w:val="0"/>
        <w:widowControl w:val="0"/>
        <w:tabs>
          <w:tab w:val="left" w:pos="7854"/>
        </w:tabs>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（1）带有统一社会信用代码的营业执照副本；</w:t>
      </w:r>
    </w:p>
    <w:p>
      <w:pPr>
        <w:pageBreakBefore w:val="0"/>
        <w:widowControl w:val="0"/>
        <w:tabs>
          <w:tab w:val="left" w:pos="7854"/>
        </w:tabs>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（2）法定代表人身份证（法定代表人到场的）或法人授权委托书及其被委托人身份证、法人身份证复印件（委托代理人到场的）；</w:t>
      </w:r>
    </w:p>
    <w:p>
      <w:pPr>
        <w:pageBreakBefore w:val="0"/>
        <w:widowControl w:val="0"/>
        <w:tabs>
          <w:tab w:val="left" w:pos="7854"/>
        </w:tabs>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菏泽市政府采购供应商资格信用承诺函；（格式详见响应文件格式）</w:t>
      </w:r>
    </w:p>
    <w:p>
      <w:pPr>
        <w:pageBreakBefore w:val="0"/>
        <w:widowControl w:val="0"/>
        <w:tabs>
          <w:tab w:val="left" w:pos="7854"/>
        </w:tabs>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（4）中小企业声明函；（格式详见响应文件格式）</w:t>
      </w:r>
      <w:r>
        <w:rPr>
          <w:rFonts w:hint="eastAsia" w:cs="宋体"/>
          <w:b/>
          <w:bCs/>
          <w:sz w:val="24"/>
          <w:szCs w:val="24"/>
          <w:highlight w:val="none"/>
          <w:lang w:val="en-US" w:eastAsia="zh-CN"/>
        </w:rPr>
        <w:t>；</w:t>
      </w:r>
    </w:p>
    <w:p>
      <w:pPr>
        <w:pageBreakBefore w:val="0"/>
        <w:widowControl w:val="0"/>
        <w:tabs>
          <w:tab w:val="left" w:pos="7854"/>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将以上资格证件单独封装，与响应文件同时递交，逾期不予接受。代理公司不对供应商递交的资格证件数量及有效性负责。以上资格证件缺项或有一项或多项不合格者，作无效报价处理，不再参与下一步评审程序，供应商应对提供的资料负责。</w:t>
      </w:r>
    </w:p>
    <w:p>
      <w:pPr>
        <w:pStyle w:val="12"/>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 xml:space="preserve">根据菏财采【2022】9 号文规定，在政府采购活动中，供应商只需在资格审查环节提供满足相应条件的资格承诺函，不在需要提供以下证明材料（资格信用承诺格式详见响应文件格式）： </w:t>
      </w:r>
    </w:p>
    <w:p>
      <w:pPr>
        <w:pStyle w:val="1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1. 符合国家规定的财务状况报告； </w:t>
      </w:r>
    </w:p>
    <w:p>
      <w:pPr>
        <w:pStyle w:val="1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2. 依法缴纳税收的证明材料； </w:t>
      </w:r>
    </w:p>
    <w:p>
      <w:pPr>
        <w:pStyle w:val="1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3. 依法缴纳社会保障金的证明材料； </w:t>
      </w:r>
    </w:p>
    <w:p>
      <w:pPr>
        <w:pStyle w:val="1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4. 具备履行合同所必需的设备和专业技术能力的证明材料； </w:t>
      </w:r>
    </w:p>
    <w:p>
      <w:pPr>
        <w:pStyle w:val="1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5. 参加政府采购活动（以开启时间为准）前 3 年内，供应商和其法定代表人无行贿犯罪行为、在经营活动中没有重大违法记录以及本项目开启时未被禁止参加本项目所在地的政府采购活动的证明材料； </w:t>
      </w:r>
    </w:p>
    <w:p>
      <w:pPr>
        <w:pStyle w:val="1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6. 未被列入失信被执行人、企业经营异常名录、重大税收违法案件当事人名单以及政府采购严重违法失信行为记录名单的证明材料。 </w:t>
      </w:r>
    </w:p>
    <w:p>
      <w:pPr>
        <w:pStyle w:val="12"/>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lang w:eastAsia="zh-CN"/>
        </w:rPr>
      </w:pPr>
      <w:r>
        <w:rPr>
          <w:rFonts w:hint="eastAsia" w:ascii="宋体" w:hAnsi="宋体" w:eastAsia="宋体" w:cs="宋体"/>
          <w:b/>
          <w:bCs/>
          <w:kern w:val="2"/>
          <w:sz w:val="24"/>
          <w:szCs w:val="24"/>
          <w:lang w:val="en-US" w:eastAsia="zh-CN" w:bidi="ar-SA"/>
        </w:rPr>
        <w:t>以上证明材料需潜在成交供应商在采购项目评标环节结束后 5 个工作日内，按采 购文件要求，将上述由资格承诺函所替代的证明材料提交采购人核验，核验无误后， 发出成交通知书。</w:t>
      </w:r>
    </w:p>
    <w:p>
      <w:pPr>
        <w:spacing w:line="500" w:lineRule="exact"/>
        <w:ind w:firstLine="435"/>
        <w:rPr>
          <w:rFonts w:hint="eastAsia" w:ascii="宋体" w:hAnsi="宋体" w:eastAsia="宋体" w:cs="宋体"/>
          <w:b/>
          <w:sz w:val="24"/>
        </w:rPr>
      </w:pPr>
      <w:r>
        <w:rPr>
          <w:rFonts w:hint="eastAsia" w:ascii="宋体" w:hAnsi="宋体" w:eastAsia="宋体" w:cs="宋体"/>
          <w:b/>
          <w:sz w:val="24"/>
        </w:rPr>
        <w:t>2、符合性审查</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2.1磋商小组依据磋商文件规定，对响应文件的内容是否完整、文件签署是否正确、响应文件是否符合磋商文件的要求进行审查，以确定是否对磋商文件的实质性要求作出响应。</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2.2在符合性审查中如出现下列情况之一的响应文件，按</w:t>
      </w:r>
      <w:r>
        <w:rPr>
          <w:rFonts w:hint="eastAsia" w:ascii="宋体" w:hAnsi="宋体" w:eastAsia="宋体" w:cs="宋体"/>
          <w:b/>
          <w:sz w:val="24"/>
        </w:rPr>
        <w:t>无效响应文件</w:t>
      </w:r>
      <w:r>
        <w:rPr>
          <w:rFonts w:hint="eastAsia" w:ascii="宋体" w:hAnsi="宋体" w:eastAsia="宋体" w:cs="宋体"/>
          <w:sz w:val="24"/>
        </w:rPr>
        <w:t>处理，不再进行磋商，磋商小组当场告知供应商：</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（1）响应文件未按规定</w:t>
      </w:r>
      <w:r>
        <w:rPr>
          <w:rFonts w:hint="eastAsia" w:ascii="宋体" w:hAnsi="宋体" w:eastAsia="宋体" w:cs="宋体"/>
          <w:sz w:val="24"/>
          <w:lang w:val="en-US" w:eastAsia="zh-CN"/>
        </w:rPr>
        <w:t>签字、盖章的</w:t>
      </w:r>
      <w:r>
        <w:rPr>
          <w:rFonts w:hint="eastAsia" w:ascii="宋体" w:hAnsi="宋体" w:eastAsia="宋体" w:cs="宋体"/>
          <w:sz w:val="24"/>
        </w:rPr>
        <w:t>；</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（2）响应文件中提供虚假或失实资料的；</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（3）不满足磋商文件其他实质性要求的；</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（4）法律、法规中有关无效投标的其他情况。</w:t>
      </w:r>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3、磋商程序</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3.1</w:t>
      </w:r>
      <w:r>
        <w:rPr>
          <w:rFonts w:hint="eastAsia" w:ascii="宋体" w:hAnsi="宋体" w:eastAsia="宋体" w:cs="宋体"/>
          <w:sz w:val="24"/>
          <w:szCs w:val="24"/>
        </w:rPr>
        <w:t>围绕磋商要点，磋商小组</w:t>
      </w:r>
      <w:r>
        <w:rPr>
          <w:rFonts w:hint="eastAsia" w:ascii="宋体" w:hAnsi="宋体" w:eastAsia="宋体" w:cs="宋体"/>
          <w:sz w:val="24"/>
          <w:szCs w:val="24"/>
          <w:lang w:val="en-US" w:eastAsia="zh-CN"/>
        </w:rPr>
        <w:t>与通过评审的供应商逐一</w:t>
      </w:r>
      <w:r>
        <w:rPr>
          <w:rFonts w:hint="eastAsia" w:ascii="宋体" w:hAnsi="宋体" w:eastAsia="宋体" w:cs="宋体"/>
          <w:sz w:val="24"/>
          <w:szCs w:val="24"/>
        </w:rPr>
        <w:t>进行磋商。供应商磋商顺序由磋商小组现场决定。</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3.2</w:t>
      </w:r>
      <w:r>
        <w:rPr>
          <w:rFonts w:hint="eastAsia" w:ascii="宋体" w:hAnsi="宋体" w:eastAsia="宋体" w:cs="宋体"/>
          <w:sz w:val="24"/>
          <w:szCs w:val="24"/>
        </w:rPr>
        <w:t>磋商过程中，磋商小组可以根据磋商情况实质性变动采购需求中的技术、服务要求以及合同草案条款，但不得变动磋商文件中的其他内容。实质性变动的内容需经采购人代表确认。并以书面形式通知所有参加磋商的供应商，该变动是磋商文件的有效组成部分。供应商应当按照磋商文件的变动情况和磋商小组的要求重新提交响应文件并由其法定代表人或授权代表签章。供应商应根据磋商小组的要求，以书面形式在规定时间内做出响应，未做出响应的响应文件将被拒绝。</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sz w:val="24"/>
          <w:szCs w:val="24"/>
          <w:lang w:val="en-US" w:eastAsia="zh-CN"/>
        </w:rPr>
        <w:t>3.3</w:t>
      </w:r>
      <w:r>
        <w:rPr>
          <w:rFonts w:hint="eastAsia" w:ascii="宋体" w:hAnsi="宋体" w:eastAsia="宋体" w:cs="宋体"/>
          <w:b/>
          <w:bCs/>
          <w:sz w:val="24"/>
          <w:szCs w:val="24"/>
        </w:rPr>
        <w:t>本次磋商采用二轮报价法（最终报价），供应商递交的响应文件中的报价为一轮报价。</w:t>
      </w:r>
      <w:r>
        <w:rPr>
          <w:rFonts w:hint="eastAsia" w:cs="宋体"/>
          <w:b/>
          <w:bCs/>
          <w:sz w:val="24"/>
          <w:szCs w:val="24"/>
          <w:lang w:val="en-US" w:eastAsia="zh-CN"/>
        </w:rPr>
        <w:t>网上</w:t>
      </w:r>
      <w:r>
        <w:rPr>
          <w:rFonts w:hint="eastAsia" w:ascii="宋体" w:hAnsi="宋体" w:eastAsia="宋体" w:cs="宋体"/>
          <w:b/>
          <w:bCs/>
          <w:sz w:val="24"/>
          <w:szCs w:val="24"/>
        </w:rPr>
        <w:t>填写的最终报价单</w:t>
      </w:r>
      <w:r>
        <w:rPr>
          <w:rFonts w:hint="eastAsia" w:ascii="宋体" w:hAnsi="宋体" w:eastAsia="宋体" w:cs="宋体"/>
          <w:b/>
          <w:bCs/>
          <w:sz w:val="24"/>
          <w:szCs w:val="24"/>
          <w:lang w:val="en-US" w:eastAsia="zh-CN"/>
        </w:rPr>
        <w:t>为</w:t>
      </w:r>
      <w:r>
        <w:rPr>
          <w:rFonts w:hint="eastAsia" w:ascii="宋体" w:hAnsi="宋体" w:eastAsia="宋体" w:cs="宋体"/>
          <w:b/>
          <w:bCs/>
          <w:sz w:val="24"/>
          <w:szCs w:val="24"/>
        </w:rPr>
        <w:t>二轮报价，二轮报价不得高于一轮报价，</w:t>
      </w:r>
      <w:r>
        <w:rPr>
          <w:rFonts w:hint="eastAsia" w:ascii="宋体" w:hAnsi="宋体" w:eastAsia="宋体" w:cs="宋体"/>
          <w:b/>
          <w:bCs/>
          <w:sz w:val="24"/>
          <w:szCs w:val="24"/>
          <w:lang w:val="en-US" w:eastAsia="zh-CN"/>
        </w:rPr>
        <w:t>否则以递交的响应文件中的报价为最终报价，</w:t>
      </w:r>
      <w:r>
        <w:rPr>
          <w:rFonts w:hint="eastAsia" w:ascii="宋体" w:hAnsi="宋体" w:eastAsia="宋体" w:cs="宋体"/>
          <w:b/>
          <w:bCs/>
          <w:sz w:val="24"/>
          <w:szCs w:val="24"/>
        </w:rPr>
        <w:t>所有报价均以人民币报价，以“元”为计价单位</w:t>
      </w:r>
      <w:r>
        <w:rPr>
          <w:rFonts w:hint="eastAsia" w:ascii="宋体" w:hAnsi="宋体" w:eastAsia="宋体" w:cs="宋体"/>
          <w:b/>
          <w:bCs/>
          <w:sz w:val="24"/>
          <w:szCs w:val="24"/>
          <w:lang w:eastAsia="zh-CN"/>
        </w:rPr>
        <w:t>。</w:t>
      </w:r>
      <w:r>
        <w:rPr>
          <w:rFonts w:hint="eastAsia" w:ascii="宋体" w:hAnsi="宋体" w:eastAsia="宋体" w:cs="宋体"/>
          <w:sz w:val="24"/>
          <w:szCs w:val="24"/>
        </w:rPr>
        <w:t>磋商小组将要求</w:t>
      </w:r>
      <w:r>
        <w:rPr>
          <w:rFonts w:hint="eastAsia" w:ascii="宋体" w:hAnsi="宋体" w:eastAsia="宋体" w:cs="宋体"/>
          <w:sz w:val="24"/>
          <w:szCs w:val="24"/>
          <w:lang w:val="en-US" w:eastAsia="zh-CN"/>
        </w:rPr>
        <w:t>通过评审</w:t>
      </w:r>
      <w:r>
        <w:rPr>
          <w:rFonts w:hint="eastAsia" w:ascii="宋体" w:hAnsi="宋体" w:eastAsia="宋体" w:cs="宋体"/>
          <w:sz w:val="24"/>
          <w:szCs w:val="24"/>
        </w:rPr>
        <w:t>的供应商在规定时间内提交最终报价。在规定时间内没有提交最终报价的磋商供应商，视同退出磋商。未通过实质性响应的供应商将不再进行最终报价。经磋商确定最终采购需求和提交最终报价的供应商后，由磋商小组采用综合评分法对提交最终报价的供应商的响应文件和最终报价进行综合评分</w:t>
      </w:r>
      <w:r>
        <w:rPr>
          <w:rFonts w:hint="eastAsia" w:ascii="宋体" w:hAnsi="宋体" w:eastAsia="宋体" w:cs="宋体"/>
          <w:sz w:val="24"/>
          <w:szCs w:val="24"/>
          <w:lang w:eastAsia="zh-CN"/>
        </w:rPr>
        <w:t>。</w:t>
      </w:r>
      <w:r>
        <w:rPr>
          <w:rFonts w:hint="eastAsia" w:ascii="宋体" w:hAnsi="宋体" w:eastAsia="宋体" w:cs="宋体"/>
          <w:b w:val="0"/>
          <w:bCs w:val="0"/>
          <w:sz w:val="24"/>
          <w:szCs w:val="24"/>
        </w:rPr>
        <w:t>供应商报价明显低于市场价格和其他供应商报价的,须出具书面说明其报价详情,否则磋商小组有权按恶意竞争处理,其报价无效。</w:t>
      </w:r>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4、综合评审</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bookmarkStart w:id="103" w:name="_Toc309377239"/>
      <w:bookmarkStart w:id="104" w:name="_Toc428972292"/>
      <w:r>
        <w:rPr>
          <w:rFonts w:hint="eastAsia" w:ascii="宋体" w:hAnsi="宋体" w:eastAsia="宋体" w:cs="宋体"/>
          <w:sz w:val="24"/>
          <w:szCs w:val="24"/>
          <w:lang w:val="en-US" w:eastAsia="zh-CN"/>
        </w:rPr>
        <w:t>4</w:t>
      </w:r>
      <w:r>
        <w:rPr>
          <w:rFonts w:hint="eastAsia" w:ascii="宋体" w:hAnsi="宋体" w:eastAsia="宋体" w:cs="宋体"/>
          <w:sz w:val="24"/>
          <w:szCs w:val="24"/>
        </w:rPr>
        <w:t>.1对通过资格性和符合性审查的</w:t>
      </w:r>
      <w:r>
        <w:rPr>
          <w:rFonts w:hint="eastAsia" w:ascii="宋体" w:hAnsi="宋体" w:eastAsia="宋体" w:cs="宋体"/>
          <w:sz w:val="24"/>
          <w:szCs w:val="24"/>
          <w:lang w:eastAsia="zh-CN"/>
        </w:rPr>
        <w:t>响应文件</w:t>
      </w:r>
      <w:r>
        <w:rPr>
          <w:rFonts w:hint="eastAsia" w:ascii="宋体" w:hAnsi="宋体" w:eastAsia="宋体" w:cs="宋体"/>
          <w:sz w:val="24"/>
          <w:szCs w:val="24"/>
        </w:rPr>
        <w:t>，磋商小组将根据竞争性磋商文件确定的评标标准和方法作进一步的比较和评价。</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.2磋商小组严格按照竞争性磋商文件的要求和评审因素进行评标分析。</w:t>
      </w:r>
    </w:p>
    <w:bookmarkEnd w:id="103"/>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5、响应文件的澄清和补正</w:t>
      </w:r>
      <w:bookmarkEnd w:id="104"/>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bookmarkStart w:id="105" w:name="_Toc22978"/>
      <w:r>
        <w:rPr>
          <w:rFonts w:hint="eastAsia" w:ascii="宋体" w:hAnsi="宋体" w:eastAsia="宋体" w:cs="宋体"/>
          <w:sz w:val="24"/>
          <w:szCs w:val="24"/>
          <w:lang w:val="en-US" w:eastAsia="zh-CN"/>
        </w:rPr>
        <w:t>5.1</w:t>
      </w:r>
      <w:r>
        <w:rPr>
          <w:rFonts w:hint="eastAsia" w:ascii="宋体" w:hAnsi="宋体" w:eastAsia="宋体" w:cs="宋体"/>
          <w:sz w:val="24"/>
          <w:szCs w:val="24"/>
        </w:rPr>
        <w:t>在磋商过程中，磋商小组可以书面形式要求供应商对所提交的</w:t>
      </w:r>
      <w:r>
        <w:rPr>
          <w:rFonts w:hint="eastAsia" w:ascii="宋体" w:hAnsi="宋体" w:eastAsia="宋体" w:cs="宋体"/>
          <w:sz w:val="24"/>
          <w:szCs w:val="24"/>
          <w:lang w:eastAsia="zh-CN"/>
        </w:rPr>
        <w:t>响应文件</w:t>
      </w:r>
      <w:r>
        <w:rPr>
          <w:rFonts w:hint="eastAsia" w:ascii="宋体" w:hAnsi="宋体" w:eastAsia="宋体" w:cs="宋体"/>
          <w:sz w:val="24"/>
          <w:szCs w:val="24"/>
        </w:rPr>
        <w:t>中不明确的内容进行书面澄清或说明，或者对细微偏差进行补正。磋商小组不接受供应商主动提出的澄清、说明或补正。磋商小组对供应商提交的澄清、说明或补正有疑问的，可以要求供应商进一步澄清、说明或补正，直至满足磋商小组的要求。</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5.2</w:t>
      </w:r>
      <w:r>
        <w:rPr>
          <w:rFonts w:hint="eastAsia" w:ascii="宋体" w:hAnsi="宋体" w:eastAsia="宋体" w:cs="宋体"/>
          <w:sz w:val="24"/>
          <w:szCs w:val="24"/>
        </w:rPr>
        <w:t>供应商的书面澄清、说明和补正属于</w:t>
      </w:r>
      <w:r>
        <w:rPr>
          <w:rFonts w:hint="eastAsia" w:ascii="宋体" w:hAnsi="宋体" w:eastAsia="宋体" w:cs="宋体"/>
          <w:sz w:val="24"/>
          <w:szCs w:val="24"/>
          <w:lang w:eastAsia="zh-CN"/>
        </w:rPr>
        <w:t>响应文件</w:t>
      </w:r>
      <w:r>
        <w:rPr>
          <w:rFonts w:hint="eastAsia" w:ascii="宋体" w:hAnsi="宋体" w:eastAsia="宋体" w:cs="宋体"/>
          <w:sz w:val="24"/>
          <w:szCs w:val="24"/>
        </w:rPr>
        <w:t>的组成部分。磋商小组要求供应商澄清、说明或者更正</w:t>
      </w:r>
      <w:r>
        <w:rPr>
          <w:rFonts w:hint="eastAsia" w:ascii="宋体" w:hAnsi="宋体" w:eastAsia="宋体" w:cs="宋体"/>
          <w:sz w:val="24"/>
          <w:szCs w:val="24"/>
          <w:lang w:eastAsia="zh-CN"/>
        </w:rPr>
        <w:t>响应文件</w:t>
      </w:r>
      <w:r>
        <w:rPr>
          <w:rFonts w:hint="eastAsia" w:ascii="宋体" w:hAnsi="宋体" w:eastAsia="宋体" w:cs="宋体"/>
          <w:sz w:val="24"/>
          <w:szCs w:val="24"/>
        </w:rPr>
        <w:t>应当以书面形式作出。供应商的澄清、说明或者更正应当由法定代表人或其授权代表签字或者加盖公章。由授权代表签字的，应当附法定代表人授权书。</w:t>
      </w:r>
    </w:p>
    <w:p>
      <w:pPr>
        <w:pStyle w:val="4"/>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bookmarkStart w:id="106" w:name="_Toc12782"/>
      <w:bookmarkStart w:id="107" w:name="_Toc11045"/>
      <w:bookmarkStart w:id="108" w:name="_Toc9976"/>
      <w:r>
        <w:rPr>
          <w:rFonts w:hint="eastAsia" w:ascii="宋体" w:hAnsi="宋体" w:eastAsia="宋体" w:cs="宋体"/>
          <w:sz w:val="24"/>
          <w:szCs w:val="24"/>
          <w:lang w:val="en-US" w:eastAsia="zh-CN"/>
        </w:rPr>
        <w:t>二</w:t>
      </w:r>
      <w:r>
        <w:rPr>
          <w:rFonts w:hint="eastAsia" w:ascii="宋体" w:hAnsi="宋体" w:eastAsia="宋体" w:cs="宋体"/>
          <w:sz w:val="24"/>
          <w:szCs w:val="24"/>
        </w:rPr>
        <w:t>、</w:t>
      </w:r>
      <w:r>
        <w:rPr>
          <w:rFonts w:hint="eastAsia" w:ascii="宋体" w:hAnsi="宋体" w:eastAsia="宋体" w:cs="宋体"/>
          <w:sz w:val="24"/>
          <w:szCs w:val="24"/>
          <w:lang w:val="en-US" w:eastAsia="zh-CN"/>
        </w:rPr>
        <w:t>定</w:t>
      </w:r>
      <w:r>
        <w:rPr>
          <w:rFonts w:hint="eastAsia" w:ascii="宋体" w:hAnsi="宋体" w:eastAsia="宋体" w:cs="宋体"/>
          <w:sz w:val="24"/>
          <w:szCs w:val="24"/>
        </w:rPr>
        <w:t>标</w:t>
      </w:r>
      <w:bookmarkEnd w:id="105"/>
      <w:bookmarkEnd w:id="106"/>
      <w:bookmarkEnd w:id="107"/>
      <w:bookmarkEnd w:id="108"/>
    </w:p>
    <w:p>
      <w:pPr>
        <w:spacing w:line="36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rPr>
        <w:t>磋商小组应当根据综合评分情况，按照评审得分由高到低顺序推荐3名成交候选供应商。</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磋商小组完成磋商后，应当向采购人提交书面报告。</w:t>
      </w:r>
    </w:p>
    <w:p>
      <w:pPr>
        <w:spacing w:line="360" w:lineRule="auto"/>
        <w:ind w:firstLine="480" w:firstLineChars="200"/>
        <w:rPr>
          <w:rFonts w:hint="eastAsia" w:ascii="宋体" w:hAnsi="宋体" w:eastAsia="宋体" w:cs="宋体"/>
          <w:color w:val="000000"/>
          <w:sz w:val="24"/>
        </w:rPr>
      </w:pPr>
    </w:p>
    <w:p>
      <w:pPr>
        <w:spacing w:line="500" w:lineRule="exact"/>
        <w:rPr>
          <w:rFonts w:hint="eastAsia" w:ascii="宋体" w:hAnsi="宋体" w:eastAsia="宋体" w:cs="宋体"/>
          <w:sz w:val="24"/>
        </w:rPr>
      </w:pPr>
    </w:p>
    <w:p>
      <w:pPr>
        <w:pStyle w:val="2"/>
        <w:ind w:left="900" w:hanging="480"/>
        <w:rPr>
          <w:rFonts w:hint="eastAsia" w:ascii="宋体" w:hAnsi="宋体" w:eastAsia="宋体" w:cs="宋体"/>
          <w:sz w:val="24"/>
        </w:rPr>
      </w:pPr>
    </w:p>
    <w:p>
      <w:pPr>
        <w:pStyle w:val="2"/>
        <w:ind w:left="900" w:hanging="480"/>
        <w:rPr>
          <w:rFonts w:hint="eastAsia" w:ascii="宋体" w:hAnsi="宋体" w:eastAsia="宋体" w:cs="宋体"/>
          <w:sz w:val="24"/>
        </w:rPr>
      </w:pPr>
    </w:p>
    <w:p>
      <w:pPr>
        <w:pStyle w:val="2"/>
        <w:ind w:left="900" w:hanging="480"/>
        <w:rPr>
          <w:rFonts w:hint="eastAsia" w:ascii="宋体" w:hAnsi="宋体" w:eastAsia="宋体" w:cs="宋体"/>
          <w:sz w:val="24"/>
        </w:rPr>
      </w:pPr>
    </w:p>
    <w:p>
      <w:pPr>
        <w:pStyle w:val="2"/>
        <w:ind w:left="900" w:hanging="480"/>
        <w:rPr>
          <w:rFonts w:hint="eastAsia" w:ascii="宋体" w:hAnsi="宋体" w:eastAsia="宋体" w:cs="宋体"/>
          <w:sz w:val="24"/>
        </w:rPr>
      </w:pPr>
      <w:r>
        <w:rPr>
          <w:rFonts w:hint="eastAsia" w:ascii="宋体" w:hAnsi="宋体" w:eastAsia="宋体" w:cs="宋体"/>
          <w:sz w:val="24"/>
        </w:rPr>
        <w:br w:type="page"/>
      </w:r>
    </w:p>
    <w:p>
      <w:pPr>
        <w:pStyle w:val="4"/>
        <w:spacing w:line="480" w:lineRule="exact"/>
        <w:jc w:val="center"/>
        <w:rPr>
          <w:rFonts w:hint="eastAsia" w:ascii="宋体" w:hAnsi="宋体" w:eastAsia="宋体" w:cs="宋体"/>
          <w:sz w:val="30"/>
          <w:szCs w:val="30"/>
        </w:rPr>
      </w:pPr>
      <w:bookmarkStart w:id="109" w:name="_Toc494970167"/>
      <w:bookmarkStart w:id="110" w:name="_Toc494967557"/>
      <w:bookmarkStart w:id="111" w:name="_Toc26409"/>
      <w:bookmarkStart w:id="112" w:name="_Toc494915090"/>
      <w:r>
        <w:rPr>
          <w:rFonts w:hint="eastAsia" w:ascii="宋体" w:hAnsi="宋体" w:eastAsia="宋体" w:cs="宋体"/>
          <w:sz w:val="30"/>
          <w:szCs w:val="30"/>
        </w:rPr>
        <w:t>磋商办法前附表</w:t>
      </w:r>
      <w:bookmarkEnd w:id="109"/>
      <w:bookmarkEnd w:id="110"/>
      <w:bookmarkEnd w:id="111"/>
      <w:bookmarkEnd w:id="112"/>
    </w:p>
    <w:tbl>
      <w:tblPr>
        <w:tblStyle w:val="2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8"/>
        <w:gridCol w:w="989"/>
        <w:gridCol w:w="2333"/>
        <w:gridCol w:w="52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1677" w:type="dxa"/>
            <w:gridSpan w:val="2"/>
            <w:tcBorders>
              <w:top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szCs w:val="21"/>
              </w:rPr>
            </w:pPr>
            <w:r>
              <w:rPr>
                <w:rFonts w:hint="eastAsia" w:ascii="宋体" w:hAnsi="宋体" w:eastAsia="宋体" w:cs="宋体"/>
                <w:b/>
                <w:szCs w:val="21"/>
              </w:rPr>
              <w:t>条款号</w:t>
            </w:r>
          </w:p>
        </w:tc>
        <w:tc>
          <w:tcPr>
            <w:tcW w:w="2333"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szCs w:val="21"/>
              </w:rPr>
            </w:pPr>
            <w:r>
              <w:rPr>
                <w:rFonts w:hint="eastAsia" w:ascii="宋体" w:hAnsi="宋体" w:eastAsia="宋体" w:cs="宋体"/>
                <w:b/>
                <w:szCs w:val="21"/>
              </w:rPr>
              <w:t>评审因素</w:t>
            </w:r>
          </w:p>
        </w:tc>
        <w:tc>
          <w:tcPr>
            <w:tcW w:w="5211"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szCs w:val="21"/>
              </w:rPr>
            </w:pPr>
            <w:r>
              <w:rPr>
                <w:rFonts w:hint="eastAsia" w:ascii="宋体" w:hAnsi="宋体" w:eastAsia="宋体" w:cs="宋体"/>
                <w:b/>
                <w:szCs w:val="21"/>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6" w:hRule="atLeast"/>
        </w:trPr>
        <w:tc>
          <w:tcPr>
            <w:tcW w:w="688" w:type="dxa"/>
            <w:tcBorders>
              <w:top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Cs w:val="21"/>
              </w:rPr>
            </w:pPr>
            <w:r>
              <w:rPr>
                <w:rFonts w:hint="eastAsia" w:ascii="宋体" w:hAnsi="宋体" w:eastAsia="宋体" w:cs="宋体"/>
                <w:szCs w:val="21"/>
              </w:rPr>
              <w:t>1</w:t>
            </w:r>
          </w:p>
        </w:tc>
        <w:tc>
          <w:tcPr>
            <w:tcW w:w="989" w:type="dxa"/>
            <w:tcBorders>
              <w:top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Cs w:val="21"/>
              </w:rPr>
            </w:pPr>
            <w:r>
              <w:rPr>
                <w:rFonts w:hint="eastAsia" w:ascii="宋体" w:hAnsi="宋体" w:eastAsia="宋体" w:cs="宋体"/>
                <w:szCs w:val="21"/>
              </w:rPr>
              <w:t>资格评审标准</w:t>
            </w:r>
          </w:p>
        </w:tc>
        <w:tc>
          <w:tcPr>
            <w:tcW w:w="7544" w:type="dxa"/>
            <w:gridSpan w:val="2"/>
            <w:tcBorders>
              <w:top w:val="single" w:color="auto" w:sz="4" w:space="0"/>
              <w:left w:val="single" w:color="auto" w:sz="4" w:space="0"/>
              <w:right w:val="single" w:color="auto" w:sz="4" w:space="0"/>
            </w:tcBorders>
            <w:noWrap/>
            <w:vAlign w:val="center"/>
          </w:tcPr>
          <w:p>
            <w:pPr>
              <w:pStyle w:val="4"/>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 w:val="32"/>
                <w:szCs w:val="32"/>
              </w:rPr>
            </w:pPr>
            <w:r>
              <w:rPr>
                <w:rFonts w:hint="eastAsia" w:ascii="宋体" w:hAnsi="宋体" w:eastAsia="宋体" w:cs="宋体"/>
                <w:b w:val="0"/>
                <w:bCs/>
                <w:sz w:val="24"/>
                <w:szCs w:val="24"/>
              </w:rPr>
              <w:t>详见第三章“竞争性磋商办法”</w:t>
            </w:r>
            <w:r>
              <w:rPr>
                <w:rFonts w:hint="eastAsia" w:ascii="宋体" w:hAnsi="宋体" w:eastAsia="宋体" w:cs="宋体"/>
                <w:b w:val="0"/>
                <w:bCs/>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688" w:type="dxa"/>
            <w:vMerge w:val="restart"/>
            <w:tcBorders>
              <w:top w:val="single" w:color="auto" w:sz="4" w:space="0"/>
              <w:right w:val="single" w:color="auto" w:sz="4" w:space="0"/>
            </w:tcBorders>
            <w:noWrap/>
            <w:vAlign w:val="center"/>
          </w:tcPr>
          <w:p>
            <w:pPr>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Cs w:val="21"/>
              </w:rPr>
            </w:pPr>
            <w:r>
              <w:rPr>
                <w:rFonts w:hint="eastAsia" w:ascii="宋体" w:hAnsi="宋体" w:eastAsia="宋体" w:cs="宋体"/>
                <w:szCs w:val="21"/>
              </w:rPr>
              <w:t>2</w:t>
            </w:r>
          </w:p>
        </w:tc>
        <w:tc>
          <w:tcPr>
            <w:tcW w:w="989" w:type="dxa"/>
            <w:vMerge w:val="restart"/>
            <w:tcBorders>
              <w:top w:val="single" w:color="auto" w:sz="4" w:space="0"/>
              <w:right w:val="single" w:color="auto" w:sz="4" w:space="0"/>
            </w:tcBorders>
            <w:noWrap/>
            <w:vAlign w:val="center"/>
          </w:tcPr>
          <w:p>
            <w:pPr>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Cs w:val="21"/>
              </w:rPr>
            </w:pPr>
            <w:r>
              <w:rPr>
                <w:rFonts w:hint="eastAsia" w:ascii="宋体" w:hAnsi="宋体" w:eastAsia="宋体" w:cs="宋体"/>
                <w:szCs w:val="21"/>
              </w:rPr>
              <w:t>形式评审标准</w:t>
            </w:r>
          </w:p>
        </w:tc>
        <w:tc>
          <w:tcPr>
            <w:tcW w:w="2333"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Cs w:val="21"/>
              </w:rPr>
            </w:pPr>
            <w:r>
              <w:rPr>
                <w:rFonts w:hint="eastAsia" w:ascii="宋体" w:hAnsi="宋体" w:eastAsia="宋体" w:cs="宋体"/>
                <w:szCs w:val="21"/>
              </w:rPr>
              <w:t>供应商名称</w:t>
            </w:r>
          </w:p>
        </w:tc>
        <w:tc>
          <w:tcPr>
            <w:tcW w:w="5211"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szCs w:val="21"/>
              </w:rPr>
            </w:pPr>
            <w:r>
              <w:rPr>
                <w:rFonts w:hint="eastAsia" w:ascii="宋体" w:hAnsi="宋体" w:eastAsia="宋体" w:cs="宋体"/>
                <w:szCs w:val="21"/>
              </w:rPr>
              <w:t>与营业执照一致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688" w:type="dxa"/>
            <w:vMerge w:val="continue"/>
            <w:tcBorders>
              <w:right w:val="single" w:color="auto" w:sz="4" w:space="0"/>
            </w:tcBorders>
            <w:noWrap/>
            <w:vAlign w:val="center"/>
          </w:tcPr>
          <w:p>
            <w:pPr>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Cs w:val="21"/>
              </w:rPr>
            </w:pPr>
          </w:p>
        </w:tc>
        <w:tc>
          <w:tcPr>
            <w:tcW w:w="989" w:type="dxa"/>
            <w:vMerge w:val="continue"/>
            <w:tcBorders>
              <w:right w:val="single" w:color="auto" w:sz="4" w:space="0"/>
            </w:tcBorders>
            <w:noWrap/>
            <w:vAlign w:val="center"/>
          </w:tcPr>
          <w:p>
            <w:pPr>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Cs w:val="21"/>
              </w:rPr>
            </w:pPr>
          </w:p>
        </w:tc>
        <w:tc>
          <w:tcPr>
            <w:tcW w:w="2333"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Cs w:val="21"/>
              </w:rPr>
            </w:pPr>
            <w:r>
              <w:rPr>
                <w:rFonts w:hint="eastAsia" w:ascii="宋体" w:hAnsi="宋体" w:eastAsia="宋体" w:cs="宋体"/>
                <w:szCs w:val="21"/>
              </w:rPr>
              <w:t>响应文件签字盖章</w:t>
            </w:r>
          </w:p>
        </w:tc>
        <w:tc>
          <w:tcPr>
            <w:tcW w:w="5211"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szCs w:val="21"/>
              </w:rPr>
            </w:pPr>
            <w:r>
              <w:rPr>
                <w:rFonts w:hint="eastAsia" w:cs="宋体"/>
                <w:szCs w:val="21"/>
                <w:lang w:eastAsia="zh-CN"/>
              </w:rPr>
              <w:t>响应文件</w:t>
            </w:r>
            <w:r>
              <w:rPr>
                <w:rFonts w:hint="eastAsia" w:ascii="宋体" w:hAnsi="宋体" w:eastAsia="宋体" w:cs="宋体"/>
                <w:szCs w:val="21"/>
              </w:rPr>
              <w:t>应由法定代表人或其授权委托人签字或盖章并加盖</w:t>
            </w:r>
            <w:r>
              <w:rPr>
                <w:rFonts w:hint="eastAsia" w:cs="宋体"/>
                <w:szCs w:val="21"/>
                <w:lang w:eastAsia="zh-CN"/>
              </w:rPr>
              <w:t>供应商</w:t>
            </w:r>
            <w:r>
              <w:rPr>
                <w:rFonts w:hint="eastAsia" w:ascii="宋体" w:hAnsi="宋体" w:eastAsia="宋体" w:cs="宋体"/>
                <w:szCs w:val="21"/>
              </w:rPr>
              <w:t>单位公章；不符合上述要求的，按无效报价处理。（电子</w:t>
            </w:r>
            <w:r>
              <w:rPr>
                <w:rFonts w:hint="eastAsia" w:cs="宋体"/>
                <w:szCs w:val="21"/>
                <w:lang w:val="en-US" w:eastAsia="zh-CN"/>
              </w:rPr>
              <w:t>响应文件</w:t>
            </w:r>
            <w:r>
              <w:rPr>
                <w:rFonts w:hint="eastAsia" w:ascii="宋体" w:hAnsi="宋体" w:eastAsia="宋体" w:cs="宋体"/>
                <w:szCs w:val="21"/>
              </w:rPr>
              <w:t>中使用电子签章）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688" w:type="dxa"/>
            <w:vMerge w:val="continue"/>
            <w:tcBorders>
              <w:right w:val="single" w:color="auto" w:sz="4" w:space="0"/>
            </w:tcBorders>
            <w:noWrap/>
            <w:vAlign w:val="center"/>
          </w:tcPr>
          <w:p>
            <w:pPr>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Cs w:val="21"/>
              </w:rPr>
            </w:pPr>
          </w:p>
        </w:tc>
        <w:tc>
          <w:tcPr>
            <w:tcW w:w="989" w:type="dxa"/>
            <w:vMerge w:val="continue"/>
            <w:tcBorders>
              <w:right w:val="single" w:color="auto" w:sz="4" w:space="0"/>
            </w:tcBorders>
            <w:noWrap/>
            <w:vAlign w:val="center"/>
          </w:tcPr>
          <w:p>
            <w:pPr>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Cs w:val="21"/>
              </w:rPr>
            </w:pPr>
          </w:p>
        </w:tc>
        <w:tc>
          <w:tcPr>
            <w:tcW w:w="2333"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Cs w:val="21"/>
              </w:rPr>
            </w:pPr>
            <w:r>
              <w:rPr>
                <w:rFonts w:hint="eastAsia" w:ascii="宋体" w:hAnsi="宋体" w:eastAsia="宋体" w:cs="宋体"/>
                <w:szCs w:val="21"/>
              </w:rPr>
              <w:t>报价唯一</w:t>
            </w:r>
          </w:p>
        </w:tc>
        <w:tc>
          <w:tcPr>
            <w:tcW w:w="5211"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szCs w:val="21"/>
              </w:rPr>
            </w:pPr>
            <w:r>
              <w:rPr>
                <w:rFonts w:hint="eastAsia" w:ascii="宋体" w:hAnsi="宋体" w:eastAsia="宋体" w:cs="宋体"/>
                <w:szCs w:val="21"/>
              </w:rPr>
              <w:t>只能有一个有效报价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688" w:type="dxa"/>
            <w:vMerge w:val="restart"/>
            <w:tcBorders>
              <w:top w:val="single" w:color="auto" w:sz="4" w:space="0"/>
              <w:right w:val="single" w:color="auto" w:sz="4" w:space="0"/>
            </w:tcBorders>
            <w:noWrap/>
            <w:vAlign w:val="center"/>
          </w:tcPr>
          <w:p>
            <w:pPr>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Cs w:val="21"/>
              </w:rPr>
            </w:pPr>
            <w:r>
              <w:rPr>
                <w:rFonts w:hint="eastAsia" w:ascii="宋体" w:hAnsi="宋体" w:eastAsia="宋体" w:cs="宋体"/>
                <w:szCs w:val="21"/>
              </w:rPr>
              <w:t>3</w:t>
            </w:r>
          </w:p>
        </w:tc>
        <w:tc>
          <w:tcPr>
            <w:tcW w:w="989" w:type="dxa"/>
            <w:vMerge w:val="restart"/>
            <w:tcBorders>
              <w:top w:val="single" w:color="auto" w:sz="4" w:space="0"/>
              <w:right w:val="single" w:color="auto" w:sz="4" w:space="0"/>
            </w:tcBorders>
            <w:noWrap/>
            <w:vAlign w:val="center"/>
          </w:tcPr>
          <w:p>
            <w:pPr>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Cs w:val="21"/>
              </w:rPr>
            </w:pPr>
            <w:r>
              <w:rPr>
                <w:rFonts w:hint="eastAsia" w:ascii="宋体" w:hAnsi="宋体" w:eastAsia="宋体" w:cs="宋体"/>
                <w:szCs w:val="21"/>
              </w:rPr>
              <w:t>响应性评审</w:t>
            </w:r>
          </w:p>
          <w:p>
            <w:pPr>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Cs w:val="21"/>
              </w:rPr>
            </w:pPr>
            <w:r>
              <w:rPr>
                <w:rFonts w:hint="eastAsia" w:ascii="宋体" w:hAnsi="宋体" w:eastAsia="宋体" w:cs="宋体"/>
                <w:szCs w:val="21"/>
              </w:rPr>
              <w:t>标准</w:t>
            </w:r>
          </w:p>
        </w:tc>
        <w:tc>
          <w:tcPr>
            <w:tcW w:w="2333"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Cs w:val="21"/>
              </w:rPr>
            </w:pPr>
            <w:r>
              <w:rPr>
                <w:rFonts w:hint="eastAsia" w:ascii="宋体" w:hAnsi="宋体" w:eastAsia="宋体" w:cs="宋体"/>
                <w:szCs w:val="21"/>
              </w:rPr>
              <w:t>服务内容</w:t>
            </w:r>
          </w:p>
        </w:tc>
        <w:tc>
          <w:tcPr>
            <w:tcW w:w="5211"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autoSpaceDN/>
              <w:bidi w:val="0"/>
              <w:adjustRightInd/>
              <w:snapToGrid/>
              <w:spacing w:line="440" w:lineRule="exact"/>
              <w:ind w:firstLine="0" w:firstLineChars="0"/>
              <w:jc w:val="left"/>
              <w:textAlignment w:val="auto"/>
              <w:rPr>
                <w:rFonts w:hint="eastAsia" w:ascii="宋体" w:hAnsi="宋体" w:eastAsia="宋体" w:cs="宋体"/>
                <w:szCs w:val="21"/>
              </w:rPr>
            </w:pPr>
            <w:r>
              <w:rPr>
                <w:rFonts w:hint="eastAsia" w:ascii="宋体" w:hAnsi="宋体" w:eastAsia="宋体" w:cs="宋体"/>
                <w:szCs w:val="21"/>
              </w:rPr>
              <w:t>符合第二章“供应商须知”规定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688" w:type="dxa"/>
            <w:vMerge w:val="continue"/>
            <w:tcBorders>
              <w:top w:val="single" w:color="auto" w:sz="4" w:space="0"/>
              <w:right w:val="single" w:color="auto" w:sz="4" w:space="0"/>
            </w:tcBorders>
            <w:noWrap/>
            <w:vAlign w:val="center"/>
          </w:tcPr>
          <w:p>
            <w:pPr>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Cs w:val="21"/>
              </w:rPr>
            </w:pPr>
          </w:p>
        </w:tc>
        <w:tc>
          <w:tcPr>
            <w:tcW w:w="989" w:type="dxa"/>
            <w:vMerge w:val="continue"/>
            <w:tcBorders>
              <w:top w:val="single" w:color="auto" w:sz="4" w:space="0"/>
              <w:right w:val="single" w:color="auto" w:sz="4" w:space="0"/>
            </w:tcBorders>
            <w:noWrap/>
            <w:vAlign w:val="center"/>
          </w:tcPr>
          <w:p>
            <w:pPr>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Cs w:val="21"/>
              </w:rPr>
            </w:pPr>
          </w:p>
        </w:tc>
        <w:tc>
          <w:tcPr>
            <w:tcW w:w="2333"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Cs w:val="21"/>
              </w:rPr>
            </w:pPr>
            <w:r>
              <w:rPr>
                <w:rFonts w:hint="eastAsia" w:ascii="宋体" w:hAnsi="宋体" w:eastAsia="宋体" w:cs="宋体"/>
                <w:szCs w:val="21"/>
              </w:rPr>
              <w:t>服务期限</w:t>
            </w:r>
          </w:p>
        </w:tc>
        <w:tc>
          <w:tcPr>
            <w:tcW w:w="5211"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autoSpaceDN/>
              <w:bidi w:val="0"/>
              <w:adjustRightInd/>
              <w:snapToGrid/>
              <w:spacing w:line="440" w:lineRule="exact"/>
              <w:ind w:firstLine="0" w:firstLineChars="0"/>
              <w:jc w:val="left"/>
              <w:textAlignment w:val="auto"/>
              <w:rPr>
                <w:rFonts w:hint="eastAsia" w:ascii="宋体" w:hAnsi="宋体" w:eastAsia="宋体" w:cs="宋体"/>
                <w:szCs w:val="21"/>
              </w:rPr>
            </w:pPr>
            <w:r>
              <w:rPr>
                <w:rFonts w:hint="eastAsia" w:ascii="宋体" w:hAnsi="宋体" w:eastAsia="宋体" w:cs="宋体"/>
                <w:szCs w:val="21"/>
              </w:rPr>
              <w:t>符合第二章“供应商须知”规定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688" w:type="dxa"/>
            <w:vMerge w:val="continue"/>
            <w:tcBorders>
              <w:top w:val="single" w:color="auto" w:sz="4" w:space="0"/>
              <w:right w:val="single" w:color="auto" w:sz="4" w:space="0"/>
            </w:tcBorders>
            <w:noWrap/>
            <w:vAlign w:val="center"/>
          </w:tcPr>
          <w:p>
            <w:pPr>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Cs w:val="21"/>
              </w:rPr>
            </w:pPr>
          </w:p>
        </w:tc>
        <w:tc>
          <w:tcPr>
            <w:tcW w:w="989" w:type="dxa"/>
            <w:vMerge w:val="continue"/>
            <w:tcBorders>
              <w:top w:val="single" w:color="auto" w:sz="4" w:space="0"/>
              <w:right w:val="single" w:color="auto" w:sz="4" w:space="0"/>
            </w:tcBorders>
            <w:noWrap/>
            <w:vAlign w:val="center"/>
          </w:tcPr>
          <w:p>
            <w:pPr>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Cs w:val="21"/>
              </w:rPr>
            </w:pPr>
          </w:p>
        </w:tc>
        <w:tc>
          <w:tcPr>
            <w:tcW w:w="2333"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Cs w:val="21"/>
              </w:rPr>
            </w:pPr>
            <w:r>
              <w:rPr>
                <w:rFonts w:hint="eastAsia" w:cs="宋体"/>
                <w:szCs w:val="21"/>
                <w:lang w:val="en-US" w:eastAsia="zh-CN"/>
              </w:rPr>
              <w:t>服务</w:t>
            </w:r>
            <w:r>
              <w:rPr>
                <w:rFonts w:hint="eastAsia" w:ascii="宋体" w:hAnsi="宋体" w:eastAsia="宋体" w:cs="宋体"/>
                <w:szCs w:val="21"/>
              </w:rPr>
              <w:t>要求</w:t>
            </w:r>
          </w:p>
        </w:tc>
        <w:tc>
          <w:tcPr>
            <w:tcW w:w="5211"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autoSpaceDN/>
              <w:bidi w:val="0"/>
              <w:adjustRightInd/>
              <w:snapToGrid/>
              <w:spacing w:line="440" w:lineRule="exact"/>
              <w:ind w:firstLine="0" w:firstLineChars="0"/>
              <w:jc w:val="left"/>
              <w:textAlignment w:val="auto"/>
              <w:rPr>
                <w:rFonts w:hint="eastAsia" w:ascii="宋体" w:hAnsi="宋体" w:eastAsia="宋体" w:cs="宋体"/>
                <w:szCs w:val="21"/>
              </w:rPr>
            </w:pPr>
            <w:r>
              <w:rPr>
                <w:rFonts w:hint="eastAsia" w:ascii="宋体" w:hAnsi="宋体" w:eastAsia="宋体" w:cs="宋体"/>
                <w:szCs w:val="21"/>
              </w:rPr>
              <w:t>符合第二章“供应商须知”规定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688" w:type="dxa"/>
            <w:vMerge w:val="continue"/>
            <w:tcBorders>
              <w:right w:val="single" w:color="auto" w:sz="4" w:space="0"/>
            </w:tcBorders>
            <w:noWrap/>
            <w:vAlign w:val="center"/>
          </w:tcPr>
          <w:p>
            <w:pPr>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Cs w:val="21"/>
              </w:rPr>
            </w:pPr>
          </w:p>
        </w:tc>
        <w:tc>
          <w:tcPr>
            <w:tcW w:w="989" w:type="dxa"/>
            <w:vMerge w:val="continue"/>
            <w:tcBorders>
              <w:right w:val="single" w:color="auto" w:sz="4" w:space="0"/>
            </w:tcBorders>
            <w:noWrap/>
            <w:vAlign w:val="center"/>
          </w:tcPr>
          <w:p>
            <w:pPr>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Cs w:val="21"/>
              </w:rPr>
            </w:pPr>
          </w:p>
        </w:tc>
        <w:tc>
          <w:tcPr>
            <w:tcW w:w="2333"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Cs w:val="21"/>
              </w:rPr>
            </w:pPr>
            <w:r>
              <w:rPr>
                <w:rFonts w:hint="eastAsia" w:ascii="宋体" w:hAnsi="宋体" w:eastAsia="宋体" w:cs="宋体"/>
                <w:szCs w:val="21"/>
              </w:rPr>
              <w:t>竞争性磋商有效期</w:t>
            </w:r>
          </w:p>
        </w:tc>
        <w:tc>
          <w:tcPr>
            <w:tcW w:w="5211"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autoSpaceDN/>
              <w:bidi w:val="0"/>
              <w:adjustRightInd/>
              <w:snapToGrid/>
              <w:spacing w:line="440" w:lineRule="exact"/>
              <w:ind w:firstLine="0" w:firstLineChars="0"/>
              <w:jc w:val="left"/>
              <w:textAlignment w:val="auto"/>
              <w:rPr>
                <w:rFonts w:hint="eastAsia" w:ascii="宋体" w:hAnsi="宋体" w:eastAsia="宋体" w:cs="宋体"/>
                <w:szCs w:val="21"/>
              </w:rPr>
            </w:pPr>
            <w:r>
              <w:rPr>
                <w:rFonts w:hint="eastAsia" w:ascii="宋体" w:hAnsi="宋体" w:eastAsia="宋体" w:cs="宋体"/>
                <w:szCs w:val="21"/>
              </w:rPr>
              <w:t>符合第二章“供应商须知”规定</w:t>
            </w:r>
          </w:p>
        </w:tc>
      </w:tr>
    </w:tbl>
    <w:p>
      <w:pPr>
        <w:spacing w:line="500" w:lineRule="exact"/>
        <w:rPr>
          <w:rFonts w:hint="eastAsia" w:ascii="宋体" w:hAnsi="宋体" w:eastAsia="宋体" w:cs="宋体"/>
          <w:sz w:val="24"/>
        </w:rPr>
      </w:pPr>
    </w:p>
    <w:p>
      <w:pPr>
        <w:spacing w:line="360" w:lineRule="auto"/>
        <w:jc w:val="center"/>
        <w:outlineLvl w:val="1"/>
        <w:rPr>
          <w:rFonts w:hint="eastAsia" w:ascii="宋体" w:hAnsi="宋体" w:eastAsia="宋体" w:cs="宋体"/>
        </w:rPr>
      </w:pPr>
      <w:r>
        <w:rPr>
          <w:rFonts w:hint="eastAsia" w:ascii="宋体" w:hAnsi="宋体" w:eastAsia="宋体" w:cs="宋体"/>
          <w:b/>
          <w:bCs/>
          <w:color w:val="000000"/>
          <w:sz w:val="28"/>
          <w:szCs w:val="28"/>
        </w:rPr>
        <w:br w:type="page"/>
      </w:r>
    </w:p>
    <w:tbl>
      <w:tblPr>
        <w:tblStyle w:val="22"/>
        <w:tblW w:w="50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953"/>
        <w:gridCol w:w="7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14" w:type="pct"/>
            <w:gridSpan w:val="2"/>
            <w:shd w:val="clear" w:color="auto" w:fill="auto"/>
            <w:vAlign w:val="center"/>
          </w:tcPr>
          <w:p>
            <w:pPr>
              <w:keepNext w:val="0"/>
              <w:keepLines w:val="0"/>
              <w:pageBreakBefore w:val="0"/>
              <w:kinsoku/>
              <w:wordWrap/>
              <w:overflowPunct/>
              <w:topLinePunct w:val="0"/>
              <w:autoSpaceDE/>
              <w:autoSpaceDN/>
              <w:bidi w:val="0"/>
              <w:adjustRightInd w:val="0"/>
              <w:snapToGrid w:val="0"/>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评分因素</w:t>
            </w:r>
          </w:p>
        </w:tc>
        <w:tc>
          <w:tcPr>
            <w:tcW w:w="3985" w:type="pct"/>
            <w:shd w:val="clear" w:color="auto" w:fill="auto"/>
            <w:vAlign w:val="center"/>
          </w:tcPr>
          <w:p>
            <w:pPr>
              <w:keepNext w:val="0"/>
              <w:keepLines w:val="0"/>
              <w:pageBreakBefore w:val="0"/>
              <w:kinsoku/>
              <w:wordWrap/>
              <w:overflowPunct/>
              <w:topLinePunct w:val="0"/>
              <w:autoSpaceDE/>
              <w:autoSpaceDN/>
              <w:bidi w:val="0"/>
              <w:adjustRightInd w:val="0"/>
              <w:snapToGrid w:val="0"/>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评分内容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pct"/>
            <w:gridSpan w:val="2"/>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价格部分</w:t>
            </w:r>
          </w:p>
          <w:p>
            <w:pPr>
              <w:keepNext w:val="0"/>
              <w:keepLines w:val="0"/>
              <w:pageBreakBefore w:val="0"/>
              <w:kinsoku/>
              <w:wordWrap/>
              <w:overflowPunct/>
              <w:topLinePunct w:val="0"/>
              <w:autoSpaceDE/>
              <w:autoSpaceDN/>
              <w:bidi w:val="0"/>
              <w:adjustRightInd w:val="0"/>
              <w:snapToGrid w:val="0"/>
              <w:spacing w:line="360" w:lineRule="auto"/>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cs="宋体"/>
                <w:sz w:val="24"/>
                <w:szCs w:val="24"/>
                <w:lang w:val="en-US" w:eastAsia="zh-CN"/>
              </w:rPr>
              <w:t>20</w:t>
            </w:r>
            <w:r>
              <w:rPr>
                <w:rFonts w:hint="eastAsia" w:ascii="宋体" w:hAnsi="宋体" w:eastAsia="宋体" w:cs="宋体"/>
                <w:sz w:val="24"/>
                <w:szCs w:val="24"/>
              </w:rPr>
              <w:t>分)</w:t>
            </w:r>
          </w:p>
        </w:tc>
        <w:tc>
          <w:tcPr>
            <w:tcW w:w="3985" w:type="pct"/>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firstLine="0" w:firstLineChars="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以满足磋商文件要求且最终报价最低的供应商的报价为评标基准价，其价格分为满分</w:t>
            </w:r>
            <w:r>
              <w:rPr>
                <w:rFonts w:hint="eastAsia" w:cs="宋体"/>
                <w:sz w:val="24"/>
                <w:szCs w:val="24"/>
                <w:lang w:val="en-US" w:eastAsia="zh-CN"/>
              </w:rPr>
              <w:t>20</w:t>
            </w:r>
            <w:r>
              <w:rPr>
                <w:rFonts w:hint="eastAsia" w:ascii="宋体" w:hAnsi="宋体" w:eastAsia="宋体" w:cs="宋体"/>
                <w:sz w:val="24"/>
                <w:szCs w:val="24"/>
              </w:rPr>
              <w:t>分，其他投标供应商的价格分按照下列公式计算：投标报价得分 =（评标基准价/投标报价）×</w:t>
            </w:r>
            <w:r>
              <w:rPr>
                <w:rFonts w:hint="eastAsia" w:cs="宋体"/>
                <w:sz w:val="24"/>
                <w:szCs w:val="24"/>
                <w:lang w:val="en-US" w:eastAsia="zh-CN"/>
              </w:rPr>
              <w:t>20%</w:t>
            </w:r>
            <w:r>
              <w:rPr>
                <w:rFonts w:hint="eastAsia" w:ascii="宋体" w:hAnsi="宋体" w:eastAsia="宋体" w:cs="宋体"/>
                <w:sz w:val="24"/>
                <w:szCs w:val="24"/>
              </w:rPr>
              <w:t>×</w:t>
            </w:r>
            <w:r>
              <w:rPr>
                <w:rFonts w:hint="eastAsia" w:cs="宋体"/>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pct"/>
            <w:vMerge w:val="restart"/>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技术部分</w:t>
            </w:r>
          </w:p>
          <w:p>
            <w:pPr>
              <w:keepNext w:val="0"/>
              <w:keepLines w:val="0"/>
              <w:pageBreakBefore w:val="0"/>
              <w:kinsoku/>
              <w:wordWrap/>
              <w:overflowPunct/>
              <w:topLinePunct w:val="0"/>
              <w:autoSpaceDE/>
              <w:autoSpaceDN/>
              <w:bidi w:val="0"/>
              <w:adjustRightInd w:val="0"/>
              <w:snapToGrid w:val="0"/>
              <w:spacing w:line="360" w:lineRule="auto"/>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cs="宋体"/>
                <w:sz w:val="24"/>
                <w:szCs w:val="24"/>
                <w:lang w:val="en-US" w:eastAsia="zh-CN"/>
              </w:rPr>
              <w:t>70</w:t>
            </w:r>
            <w:r>
              <w:rPr>
                <w:rFonts w:hint="eastAsia" w:ascii="宋体" w:hAnsi="宋体" w:eastAsia="宋体" w:cs="宋体"/>
                <w:sz w:val="24"/>
                <w:szCs w:val="24"/>
              </w:rPr>
              <w:t>分)</w:t>
            </w:r>
          </w:p>
        </w:tc>
        <w:tc>
          <w:tcPr>
            <w:tcW w:w="509" w:type="pct"/>
            <w:vAlign w:val="center"/>
          </w:tcPr>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both"/>
              <w:textAlignment w:val="auto"/>
              <w:rPr>
                <w:rFonts w:hint="default" w:ascii="宋体" w:hAnsi="宋体" w:eastAsia="宋体" w:cs="宋体"/>
                <w:sz w:val="24"/>
                <w:szCs w:val="24"/>
                <w:lang w:val="en-US" w:eastAsia="zh-CN"/>
              </w:rPr>
            </w:pPr>
            <w:r>
              <w:rPr>
                <w:rFonts w:hint="eastAsia" w:cs="宋体"/>
                <w:sz w:val="24"/>
                <w:szCs w:val="24"/>
                <w:lang w:val="en-US" w:eastAsia="zh-CN"/>
              </w:rPr>
              <w:t>项目理解（10分）</w:t>
            </w:r>
          </w:p>
        </w:tc>
        <w:tc>
          <w:tcPr>
            <w:tcW w:w="3985" w:type="pct"/>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根据供应商对项目现状、项目需求、项目目标、项目总体方案、平台功能等进行综合评估，完全符合本项目需求且条理清晰的本项得</w:t>
            </w:r>
            <w:r>
              <w:rPr>
                <w:rFonts w:hint="eastAsia" w:cs="宋体"/>
                <w:sz w:val="24"/>
                <w:szCs w:val="24"/>
                <w:lang w:val="en-US" w:eastAsia="zh-CN"/>
              </w:rPr>
              <w:t>7-10</w:t>
            </w:r>
            <w:r>
              <w:rPr>
                <w:rFonts w:hint="eastAsia" w:ascii="宋体" w:hAnsi="宋体" w:eastAsia="宋体" w:cs="宋体"/>
                <w:sz w:val="24"/>
                <w:szCs w:val="24"/>
                <w:lang w:val="en-US" w:eastAsia="zh-CN"/>
              </w:rPr>
              <w:t>分；基本满足本项目需求的得</w:t>
            </w:r>
            <w:r>
              <w:rPr>
                <w:rFonts w:hint="eastAsia" w:cs="宋体"/>
                <w:sz w:val="24"/>
                <w:szCs w:val="24"/>
                <w:lang w:val="en-US" w:eastAsia="zh-CN"/>
              </w:rPr>
              <w:t>4-7</w:t>
            </w:r>
            <w:r>
              <w:rPr>
                <w:rFonts w:hint="eastAsia" w:ascii="宋体" w:hAnsi="宋体" w:eastAsia="宋体" w:cs="宋体"/>
                <w:sz w:val="24"/>
                <w:szCs w:val="24"/>
                <w:lang w:val="en-US" w:eastAsia="zh-CN"/>
              </w:rPr>
              <w:t>分</w:t>
            </w:r>
            <w:r>
              <w:rPr>
                <w:rFonts w:hint="eastAsia" w:cs="宋体"/>
                <w:sz w:val="24"/>
                <w:szCs w:val="24"/>
                <w:lang w:val="en-US" w:eastAsia="zh-CN"/>
              </w:rPr>
              <w:t>，内容粗略无重点并有缺项的，得0-4分</w:t>
            </w:r>
            <w:r>
              <w:rPr>
                <w:rFonts w:hint="eastAsia" w:ascii="宋体" w:hAnsi="宋体" w:eastAsia="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pct"/>
            <w:vMerge w:val="continue"/>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firstLine="0" w:firstLineChars="0"/>
              <w:jc w:val="center"/>
              <w:textAlignment w:val="auto"/>
              <w:rPr>
                <w:rFonts w:hint="eastAsia" w:ascii="宋体" w:hAnsi="宋体" w:eastAsia="宋体" w:cs="宋体"/>
                <w:sz w:val="24"/>
                <w:szCs w:val="24"/>
              </w:rPr>
            </w:pPr>
          </w:p>
        </w:tc>
        <w:tc>
          <w:tcPr>
            <w:tcW w:w="509" w:type="pct"/>
            <w:vAlign w:val="center"/>
          </w:tcPr>
          <w:p>
            <w:pPr>
              <w:keepNext w:val="0"/>
              <w:keepLines w:val="0"/>
              <w:pageBreakBefore w:val="0"/>
              <w:kinsoku/>
              <w:wordWrap/>
              <w:overflowPunct/>
              <w:topLinePunct w:val="0"/>
              <w:autoSpaceDE/>
              <w:autoSpaceDN/>
              <w:bidi w:val="0"/>
              <w:adjustRightInd w:val="0"/>
              <w:snapToGrid w:val="0"/>
              <w:spacing w:line="360" w:lineRule="auto"/>
              <w:ind w:left="0" w:firstLine="0" w:firstLineChars="0"/>
              <w:jc w:val="center"/>
              <w:textAlignment w:val="auto"/>
              <w:rPr>
                <w:rFonts w:hint="default" w:ascii="宋体" w:hAnsi="宋体" w:eastAsia="宋体" w:cs="宋体"/>
                <w:sz w:val="24"/>
                <w:szCs w:val="24"/>
                <w:lang w:val="en-US" w:eastAsia="zh-CN"/>
              </w:rPr>
            </w:pPr>
            <w:r>
              <w:rPr>
                <w:rFonts w:hint="eastAsia" w:cs="宋体"/>
                <w:sz w:val="24"/>
                <w:szCs w:val="24"/>
                <w:lang w:val="en-US" w:eastAsia="zh-CN"/>
              </w:rPr>
              <w:t>实施方案（10分）</w:t>
            </w:r>
          </w:p>
        </w:tc>
        <w:tc>
          <w:tcPr>
            <w:tcW w:w="3985" w:type="pct"/>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宋体" w:hAnsi="宋体" w:eastAsia="宋体" w:cs="宋体"/>
                <w:sz w:val="24"/>
                <w:szCs w:val="24"/>
                <w:lang w:val="en-US"/>
              </w:rPr>
            </w:pPr>
            <w:r>
              <w:rPr>
                <w:rFonts w:hint="eastAsia" w:ascii="宋体" w:hAnsi="宋体" w:eastAsia="宋体" w:cs="宋体"/>
                <w:sz w:val="24"/>
                <w:szCs w:val="24"/>
                <w:lang w:val="en-US" w:eastAsia="zh-CN"/>
              </w:rPr>
              <w:t>根据供应商对采购人所需的桌面操作系统软件、办公软件、软件资源与服务管理平台等需求，做出业务需求分析、安装部署，科学敷设、验收测试等的技术方案。要求方案至少包含业务需求分析方案、安装部署方案、验收测试方案等内容，内容完整无缺项</w:t>
            </w:r>
            <w:r>
              <w:rPr>
                <w:rFonts w:hint="eastAsia" w:cs="宋体"/>
                <w:sz w:val="24"/>
                <w:szCs w:val="24"/>
                <w:lang w:val="en-US" w:eastAsia="zh-CN"/>
              </w:rPr>
              <w:t>、合理</w:t>
            </w:r>
            <w:r>
              <w:rPr>
                <w:rFonts w:hint="eastAsia" w:ascii="宋体" w:hAnsi="宋体" w:eastAsia="宋体" w:cs="宋体"/>
                <w:sz w:val="24"/>
                <w:szCs w:val="24"/>
                <w:lang w:val="en-US" w:eastAsia="zh-CN"/>
              </w:rPr>
              <w:t>的</w:t>
            </w:r>
            <w:r>
              <w:rPr>
                <w:rFonts w:hint="eastAsia" w:cs="宋体"/>
                <w:sz w:val="24"/>
                <w:szCs w:val="24"/>
                <w:lang w:val="en-US" w:eastAsia="zh-CN"/>
              </w:rPr>
              <w:t>，</w:t>
            </w:r>
            <w:r>
              <w:rPr>
                <w:rFonts w:hint="eastAsia" w:ascii="宋体" w:hAnsi="宋体" w:eastAsia="宋体" w:cs="宋体"/>
                <w:sz w:val="24"/>
                <w:szCs w:val="24"/>
                <w:lang w:val="en-US" w:eastAsia="zh-CN"/>
              </w:rPr>
              <w:t>得</w:t>
            </w:r>
            <w:r>
              <w:rPr>
                <w:rFonts w:hint="eastAsia" w:cs="宋体"/>
                <w:sz w:val="24"/>
                <w:szCs w:val="24"/>
                <w:lang w:val="en-US" w:eastAsia="zh-CN"/>
              </w:rPr>
              <w:t>7-10分，</w:t>
            </w:r>
            <w:r>
              <w:rPr>
                <w:rFonts w:hint="eastAsia" w:ascii="宋体" w:hAnsi="宋体" w:cs="宋体"/>
                <w:sz w:val="24"/>
                <w:szCs w:val="24"/>
                <w:lang w:val="en-US" w:eastAsia="zh-CN"/>
              </w:rPr>
              <w:t>能基本满足本项目需求的，得</w:t>
            </w:r>
            <w:r>
              <w:rPr>
                <w:rFonts w:hint="eastAsia" w:cs="宋体"/>
                <w:sz w:val="24"/>
                <w:szCs w:val="24"/>
                <w:lang w:val="en-US" w:eastAsia="zh-CN"/>
              </w:rPr>
              <w:t>4-7</w:t>
            </w:r>
            <w:r>
              <w:rPr>
                <w:rFonts w:hint="eastAsia" w:ascii="宋体" w:hAnsi="宋体" w:cs="宋体"/>
                <w:sz w:val="24"/>
                <w:szCs w:val="24"/>
                <w:lang w:val="en-US" w:eastAsia="zh-CN"/>
              </w:rPr>
              <w:t>分</w:t>
            </w:r>
            <w:r>
              <w:rPr>
                <w:rFonts w:hint="eastAsia" w:cs="宋体"/>
                <w:sz w:val="24"/>
                <w:szCs w:val="24"/>
                <w:lang w:val="en-US" w:eastAsia="zh-CN"/>
              </w:rPr>
              <w:t>，内容粗略无重点并有缺项的，得0-4分</w:t>
            </w:r>
            <w:r>
              <w:rPr>
                <w:rFonts w:hint="eastAsia" w:ascii="宋体" w:hAnsi="宋体" w:eastAsia="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pct"/>
            <w:vMerge w:val="continue"/>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firstLine="0" w:firstLineChars="0"/>
              <w:jc w:val="center"/>
              <w:textAlignment w:val="auto"/>
              <w:rPr>
                <w:rFonts w:hint="eastAsia" w:ascii="宋体" w:hAnsi="宋体" w:eastAsia="宋体" w:cs="宋体"/>
                <w:sz w:val="24"/>
                <w:szCs w:val="24"/>
              </w:rPr>
            </w:pPr>
          </w:p>
        </w:tc>
        <w:tc>
          <w:tcPr>
            <w:tcW w:w="509" w:type="pct"/>
            <w:vAlign w:val="center"/>
          </w:tcPr>
          <w:p>
            <w:pPr>
              <w:keepNext w:val="0"/>
              <w:keepLines w:val="0"/>
              <w:pageBreakBefore w:val="0"/>
              <w:kinsoku/>
              <w:wordWrap/>
              <w:overflowPunct/>
              <w:topLinePunct w:val="0"/>
              <w:autoSpaceDE/>
              <w:autoSpaceDN/>
              <w:bidi w:val="0"/>
              <w:adjustRightInd w:val="0"/>
              <w:snapToGrid w:val="0"/>
              <w:spacing w:line="360" w:lineRule="auto"/>
              <w:ind w:left="0" w:firstLine="0" w:firstLineChars="0"/>
              <w:jc w:val="center"/>
              <w:textAlignment w:val="auto"/>
              <w:rPr>
                <w:rFonts w:hint="default" w:ascii="宋体" w:hAnsi="宋体" w:eastAsia="宋体" w:cs="宋体"/>
                <w:sz w:val="24"/>
                <w:szCs w:val="24"/>
                <w:lang w:val="en-US" w:eastAsia="zh-CN"/>
              </w:rPr>
            </w:pPr>
            <w:r>
              <w:rPr>
                <w:rFonts w:hint="eastAsia" w:cs="宋体"/>
                <w:sz w:val="24"/>
                <w:szCs w:val="24"/>
                <w:lang w:val="en-US" w:eastAsia="zh-CN"/>
              </w:rPr>
              <w:t>服务方案（10分）</w:t>
            </w:r>
          </w:p>
        </w:tc>
        <w:tc>
          <w:tcPr>
            <w:tcW w:w="3985" w:type="pct"/>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供应商应按照要求的项目技术服务内容及技术参数明确服务内容、服务标准、服务规划、服务质量等，服务方案论述详细合理、清晰完整并阐明项目过程中的关注要点，可行性及操作性强，并承诺按照服务方案进行组织实施，相关内容描述详细得 </w:t>
            </w:r>
            <w:r>
              <w:rPr>
                <w:rFonts w:hint="eastAsia" w:cs="宋体"/>
                <w:sz w:val="24"/>
                <w:szCs w:val="24"/>
                <w:lang w:val="en-US" w:eastAsia="zh-CN"/>
              </w:rPr>
              <w:t>7-10</w:t>
            </w:r>
            <w:r>
              <w:rPr>
                <w:rFonts w:hint="eastAsia" w:ascii="宋体" w:hAnsi="宋体" w:eastAsia="宋体" w:cs="宋体"/>
                <w:sz w:val="24"/>
                <w:szCs w:val="24"/>
                <w:lang w:val="en-US" w:eastAsia="zh-CN"/>
              </w:rPr>
              <w:t>分；</w:t>
            </w:r>
            <w:r>
              <w:rPr>
                <w:rFonts w:hint="eastAsia" w:ascii="宋体" w:hAnsi="宋体" w:cs="宋体"/>
                <w:sz w:val="24"/>
                <w:szCs w:val="24"/>
                <w:lang w:val="en-US" w:eastAsia="zh-CN"/>
              </w:rPr>
              <w:t>能基本满足本项目需求的，得</w:t>
            </w:r>
            <w:r>
              <w:rPr>
                <w:rFonts w:hint="eastAsia" w:cs="宋体"/>
                <w:sz w:val="24"/>
                <w:szCs w:val="24"/>
                <w:lang w:val="en-US" w:eastAsia="zh-CN"/>
              </w:rPr>
              <w:t>4-7</w:t>
            </w:r>
            <w:r>
              <w:rPr>
                <w:rFonts w:hint="eastAsia" w:ascii="宋体" w:hAnsi="宋体" w:cs="宋体"/>
                <w:sz w:val="24"/>
                <w:szCs w:val="24"/>
                <w:lang w:val="en-US" w:eastAsia="zh-CN"/>
              </w:rPr>
              <w:t>分</w:t>
            </w:r>
            <w:r>
              <w:rPr>
                <w:rFonts w:hint="eastAsia" w:cs="宋体"/>
                <w:sz w:val="24"/>
                <w:szCs w:val="24"/>
                <w:lang w:val="en-US" w:eastAsia="zh-CN"/>
              </w:rPr>
              <w:t>，内容粗略无重点并有缺项的，得0-4分</w:t>
            </w:r>
            <w:r>
              <w:rPr>
                <w:rFonts w:hint="eastAsia" w:ascii="宋体" w:hAnsi="宋体" w:eastAsia="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pct"/>
            <w:vMerge w:val="continue"/>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firstLine="0" w:firstLineChars="0"/>
              <w:jc w:val="center"/>
              <w:textAlignment w:val="auto"/>
              <w:rPr>
                <w:rFonts w:hint="eastAsia" w:ascii="宋体" w:hAnsi="宋体" w:eastAsia="宋体" w:cs="宋体"/>
                <w:sz w:val="24"/>
                <w:szCs w:val="24"/>
              </w:rPr>
            </w:pPr>
          </w:p>
        </w:tc>
        <w:tc>
          <w:tcPr>
            <w:tcW w:w="509" w:type="pct"/>
            <w:vAlign w:val="center"/>
          </w:tcPr>
          <w:p>
            <w:pPr>
              <w:keepNext w:val="0"/>
              <w:keepLines w:val="0"/>
              <w:pageBreakBefore w:val="0"/>
              <w:kinsoku/>
              <w:wordWrap/>
              <w:overflowPunct/>
              <w:topLinePunct w:val="0"/>
              <w:autoSpaceDE/>
              <w:autoSpaceDN/>
              <w:bidi w:val="0"/>
              <w:adjustRightInd w:val="0"/>
              <w:snapToGrid w:val="0"/>
              <w:spacing w:line="360" w:lineRule="auto"/>
              <w:ind w:left="0" w:firstLine="0" w:firstLineChars="0"/>
              <w:jc w:val="center"/>
              <w:textAlignment w:val="auto"/>
              <w:rPr>
                <w:rFonts w:hint="eastAsia" w:ascii="宋体" w:hAnsi="宋体" w:eastAsia="宋体" w:cs="宋体"/>
                <w:sz w:val="24"/>
                <w:szCs w:val="24"/>
              </w:rPr>
            </w:pPr>
            <w:r>
              <w:rPr>
                <w:rFonts w:hint="eastAsia" w:cs="宋体"/>
                <w:sz w:val="24"/>
                <w:szCs w:val="24"/>
                <w:lang w:val="en-US" w:eastAsia="zh-CN"/>
              </w:rPr>
              <w:t>人员配备</w:t>
            </w:r>
            <w:r>
              <w:rPr>
                <w:rFonts w:hint="eastAsia" w:ascii="宋体" w:hAnsi="宋体" w:eastAsia="宋体" w:cs="宋体"/>
                <w:sz w:val="24"/>
                <w:szCs w:val="24"/>
              </w:rPr>
              <w:t>(</w:t>
            </w:r>
            <w:r>
              <w:rPr>
                <w:rFonts w:hint="eastAsia" w:cs="宋体"/>
                <w:sz w:val="24"/>
                <w:szCs w:val="24"/>
                <w:lang w:val="en-US" w:eastAsia="zh-CN"/>
              </w:rPr>
              <w:t>10</w:t>
            </w:r>
            <w:r>
              <w:rPr>
                <w:rFonts w:hint="eastAsia" w:ascii="宋体" w:hAnsi="宋体" w:eastAsia="宋体" w:cs="宋体"/>
                <w:sz w:val="24"/>
                <w:szCs w:val="24"/>
              </w:rPr>
              <w:t>分)</w:t>
            </w:r>
          </w:p>
        </w:tc>
        <w:tc>
          <w:tcPr>
            <w:tcW w:w="3985" w:type="pct"/>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firstLine="0" w:firstLineChars="0"/>
              <w:textAlignment w:val="auto"/>
              <w:rPr>
                <w:rFonts w:hint="eastAsia" w:ascii="宋体" w:hAnsi="宋体" w:eastAsia="宋体" w:cs="宋体"/>
                <w:sz w:val="24"/>
                <w:szCs w:val="24"/>
              </w:rPr>
            </w:pPr>
            <w:r>
              <w:rPr>
                <w:rFonts w:hint="eastAsia" w:cs="宋体"/>
                <w:sz w:val="24"/>
                <w:szCs w:val="24"/>
                <w:lang w:eastAsia="zh-CN"/>
              </w:rPr>
              <w:t>供应商</w:t>
            </w:r>
            <w:r>
              <w:rPr>
                <w:rFonts w:hint="eastAsia" w:ascii="宋体" w:hAnsi="宋体" w:eastAsia="宋体" w:cs="宋体"/>
                <w:sz w:val="24"/>
                <w:szCs w:val="24"/>
              </w:rPr>
              <w:t>拟派实施团队人员充足、有大量相关实施经验，从业时间较长，管理和技术人员比例协调，团队整体实力强，分工安排合理，可实施性强；项目负责人经验丰富</w:t>
            </w:r>
            <w:r>
              <w:rPr>
                <w:rFonts w:hint="eastAsia" w:cs="宋体"/>
                <w:sz w:val="24"/>
                <w:szCs w:val="24"/>
                <w:lang w:eastAsia="zh-CN"/>
              </w:rPr>
              <w:t>，</w:t>
            </w:r>
            <w:r>
              <w:rPr>
                <w:rFonts w:hint="eastAsia" w:cs="宋体"/>
                <w:sz w:val="24"/>
                <w:szCs w:val="24"/>
                <w:lang w:val="en-US" w:eastAsia="zh-CN"/>
              </w:rPr>
              <w:t>人员措施完善的，得7-10分，</w:t>
            </w:r>
            <w:r>
              <w:rPr>
                <w:rFonts w:hint="eastAsia" w:ascii="宋体" w:hAnsi="宋体" w:cs="宋体"/>
                <w:sz w:val="24"/>
                <w:szCs w:val="24"/>
                <w:lang w:val="en-US" w:eastAsia="zh-CN"/>
              </w:rPr>
              <w:t>能基本满足本项目需求的，得</w:t>
            </w:r>
            <w:r>
              <w:rPr>
                <w:rFonts w:hint="eastAsia" w:cs="宋体"/>
                <w:sz w:val="24"/>
                <w:szCs w:val="24"/>
                <w:lang w:val="en-US" w:eastAsia="zh-CN"/>
              </w:rPr>
              <w:t>4-7</w:t>
            </w:r>
            <w:r>
              <w:rPr>
                <w:rFonts w:hint="eastAsia" w:ascii="宋体" w:hAnsi="宋体" w:cs="宋体"/>
                <w:sz w:val="24"/>
                <w:szCs w:val="24"/>
                <w:lang w:val="en-US" w:eastAsia="zh-CN"/>
              </w:rPr>
              <w:t>分</w:t>
            </w:r>
            <w:r>
              <w:rPr>
                <w:rFonts w:hint="eastAsia" w:cs="宋体"/>
                <w:sz w:val="24"/>
                <w:szCs w:val="24"/>
                <w:lang w:val="en-US" w:eastAsia="zh-CN"/>
              </w:rPr>
              <w:t>，内容粗略无重点并有缺项的，得0-4分</w:t>
            </w:r>
            <w:r>
              <w:rPr>
                <w:rFonts w:hint="eastAsia" w:ascii="宋体" w:hAnsi="宋体" w:eastAsia="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pct"/>
            <w:vMerge w:val="continue"/>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firstLine="0" w:firstLineChars="0"/>
              <w:jc w:val="center"/>
              <w:textAlignment w:val="auto"/>
              <w:rPr>
                <w:rFonts w:hint="eastAsia" w:ascii="宋体" w:hAnsi="宋体" w:eastAsia="宋体" w:cs="宋体"/>
                <w:sz w:val="24"/>
                <w:szCs w:val="24"/>
              </w:rPr>
            </w:pPr>
          </w:p>
        </w:tc>
        <w:tc>
          <w:tcPr>
            <w:tcW w:w="509" w:type="pct"/>
            <w:vAlign w:val="center"/>
          </w:tcPr>
          <w:p>
            <w:pPr>
              <w:keepNext w:val="0"/>
              <w:keepLines w:val="0"/>
              <w:pageBreakBefore w:val="0"/>
              <w:kinsoku/>
              <w:wordWrap/>
              <w:overflowPunct/>
              <w:topLinePunct w:val="0"/>
              <w:autoSpaceDE/>
              <w:autoSpaceDN/>
              <w:bidi w:val="0"/>
              <w:adjustRightInd w:val="0"/>
              <w:snapToGrid w:val="0"/>
              <w:spacing w:line="360" w:lineRule="auto"/>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应急</w:t>
            </w:r>
            <w:r>
              <w:rPr>
                <w:rFonts w:hint="eastAsia" w:ascii="宋体" w:hAnsi="宋体" w:eastAsia="宋体" w:cs="宋体"/>
                <w:sz w:val="24"/>
                <w:szCs w:val="24"/>
                <w:lang w:val="en-US" w:eastAsia="zh-CN"/>
              </w:rPr>
              <w:t>方案</w:t>
            </w:r>
            <w:r>
              <w:rPr>
                <w:rFonts w:hint="eastAsia" w:ascii="宋体" w:hAnsi="宋体" w:eastAsia="宋体" w:cs="宋体"/>
                <w:sz w:val="24"/>
                <w:szCs w:val="24"/>
              </w:rPr>
              <w:t>(</w:t>
            </w:r>
            <w:r>
              <w:rPr>
                <w:rFonts w:hint="eastAsia" w:cs="宋体"/>
                <w:sz w:val="24"/>
                <w:szCs w:val="24"/>
                <w:lang w:val="en-US" w:eastAsia="zh-CN"/>
              </w:rPr>
              <w:t>10</w:t>
            </w:r>
            <w:r>
              <w:rPr>
                <w:rFonts w:hint="eastAsia" w:ascii="宋体" w:hAnsi="宋体" w:eastAsia="宋体" w:cs="宋体"/>
                <w:sz w:val="24"/>
                <w:szCs w:val="24"/>
              </w:rPr>
              <w:t>分)</w:t>
            </w:r>
          </w:p>
        </w:tc>
        <w:tc>
          <w:tcPr>
            <w:tcW w:w="3985" w:type="pct"/>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firstLine="0" w:firstLineChars="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对供应商提供的应急处置方案，故障处理措施，应急处置团队协助进行针对性处置的能力等</w:t>
            </w:r>
            <w:r>
              <w:rPr>
                <w:rFonts w:hint="eastAsia" w:cs="宋体"/>
                <w:sz w:val="24"/>
                <w:szCs w:val="24"/>
                <w:lang w:val="en-US" w:eastAsia="zh-CN"/>
              </w:rPr>
              <w:t>方案</w:t>
            </w:r>
            <w:r>
              <w:rPr>
                <w:rFonts w:hint="eastAsia" w:ascii="宋体" w:hAnsi="宋体" w:eastAsia="宋体" w:cs="宋体"/>
                <w:sz w:val="24"/>
                <w:szCs w:val="24"/>
                <w:lang w:eastAsia="zh-CN"/>
              </w:rPr>
              <w:t>，</w:t>
            </w:r>
            <w:r>
              <w:rPr>
                <w:rFonts w:hint="eastAsia" w:ascii="宋体" w:hAnsi="宋体" w:cs="宋体"/>
                <w:sz w:val="24"/>
                <w:szCs w:val="24"/>
                <w:lang w:eastAsia="zh-CN"/>
              </w:rPr>
              <w:t>全面、完整、详细、有针对性的得</w:t>
            </w:r>
            <w:r>
              <w:rPr>
                <w:rFonts w:hint="eastAsia" w:cs="宋体"/>
                <w:sz w:val="24"/>
                <w:szCs w:val="24"/>
                <w:lang w:val="en-US" w:eastAsia="zh-CN"/>
              </w:rPr>
              <w:t>7-10</w:t>
            </w:r>
            <w:r>
              <w:rPr>
                <w:rFonts w:hint="eastAsia" w:ascii="宋体" w:hAnsi="宋体" w:cs="宋体"/>
                <w:sz w:val="24"/>
                <w:szCs w:val="24"/>
                <w:lang w:eastAsia="zh-CN"/>
              </w:rPr>
              <w:t>分，</w:t>
            </w:r>
            <w:r>
              <w:rPr>
                <w:rFonts w:hint="eastAsia" w:ascii="宋体" w:hAnsi="宋体" w:cs="宋体"/>
                <w:sz w:val="24"/>
                <w:szCs w:val="24"/>
                <w:lang w:val="en-US" w:eastAsia="zh-CN"/>
              </w:rPr>
              <w:t>能基本满足本项目需求的，得</w:t>
            </w:r>
            <w:r>
              <w:rPr>
                <w:rFonts w:hint="eastAsia" w:cs="宋体"/>
                <w:sz w:val="24"/>
                <w:szCs w:val="24"/>
                <w:lang w:val="en-US" w:eastAsia="zh-CN"/>
              </w:rPr>
              <w:t>4-7</w:t>
            </w:r>
            <w:r>
              <w:rPr>
                <w:rFonts w:hint="eastAsia" w:ascii="宋体" w:hAnsi="宋体" w:cs="宋体"/>
                <w:sz w:val="24"/>
                <w:szCs w:val="24"/>
                <w:lang w:val="en-US" w:eastAsia="zh-CN"/>
              </w:rPr>
              <w:t>分</w:t>
            </w:r>
            <w:r>
              <w:rPr>
                <w:rFonts w:hint="eastAsia" w:cs="宋体"/>
                <w:sz w:val="24"/>
                <w:szCs w:val="24"/>
                <w:lang w:val="en-US" w:eastAsia="zh-CN"/>
              </w:rPr>
              <w:t>，内容粗略无重点并有缺项的，得0-4分</w:t>
            </w:r>
            <w:r>
              <w:rPr>
                <w:rFonts w:hint="eastAsia" w:ascii="宋体" w:hAnsi="宋体" w:eastAsia="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pct"/>
            <w:vMerge w:val="continue"/>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firstLine="0" w:firstLineChars="0"/>
              <w:jc w:val="center"/>
              <w:textAlignment w:val="auto"/>
              <w:rPr>
                <w:rFonts w:hint="eastAsia" w:ascii="宋体" w:hAnsi="宋体" w:eastAsia="宋体" w:cs="宋体"/>
                <w:sz w:val="24"/>
                <w:szCs w:val="24"/>
              </w:rPr>
            </w:pPr>
          </w:p>
        </w:tc>
        <w:tc>
          <w:tcPr>
            <w:tcW w:w="509" w:type="pct"/>
            <w:vAlign w:val="center"/>
          </w:tcPr>
          <w:p>
            <w:pPr>
              <w:keepNext w:val="0"/>
              <w:keepLines w:val="0"/>
              <w:pageBreakBefore w:val="0"/>
              <w:kinsoku/>
              <w:wordWrap/>
              <w:overflowPunct/>
              <w:topLinePunct w:val="0"/>
              <w:autoSpaceDE/>
              <w:autoSpaceDN/>
              <w:bidi w:val="0"/>
              <w:adjustRightInd w:val="0"/>
              <w:snapToGrid w:val="0"/>
              <w:spacing w:line="360" w:lineRule="auto"/>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培训方案</w:t>
            </w:r>
            <w:r>
              <w:rPr>
                <w:rFonts w:hint="eastAsia" w:cs="宋体"/>
                <w:sz w:val="24"/>
                <w:szCs w:val="24"/>
                <w:lang w:eastAsia="zh-CN"/>
              </w:rPr>
              <w:t>（</w:t>
            </w:r>
            <w:r>
              <w:rPr>
                <w:rFonts w:hint="eastAsia" w:cs="宋体"/>
                <w:sz w:val="24"/>
                <w:szCs w:val="24"/>
                <w:lang w:val="en-US" w:eastAsia="zh-CN"/>
              </w:rPr>
              <w:t>10</w:t>
            </w:r>
            <w:r>
              <w:rPr>
                <w:rFonts w:hint="eastAsia" w:ascii="宋体" w:hAnsi="宋体" w:eastAsia="宋体" w:cs="宋体"/>
                <w:sz w:val="24"/>
                <w:szCs w:val="24"/>
              </w:rPr>
              <w:t>分)</w:t>
            </w:r>
          </w:p>
        </w:tc>
        <w:tc>
          <w:tcPr>
            <w:tcW w:w="3985" w:type="pct"/>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firstLine="0" w:firstLineChars="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根据</w:t>
            </w:r>
            <w:r>
              <w:rPr>
                <w:rFonts w:hint="eastAsia" w:cs="宋体"/>
                <w:sz w:val="24"/>
                <w:szCs w:val="24"/>
                <w:lang w:eastAsia="zh-CN"/>
              </w:rPr>
              <w:t>供应商</w:t>
            </w:r>
            <w:r>
              <w:rPr>
                <w:rFonts w:hint="eastAsia" w:ascii="宋体" w:hAnsi="宋体" w:eastAsia="宋体" w:cs="宋体"/>
                <w:sz w:val="24"/>
                <w:szCs w:val="24"/>
              </w:rPr>
              <w:t>培训方案的合理性、全面性、针对性，</w:t>
            </w:r>
            <w:r>
              <w:rPr>
                <w:rFonts w:hint="eastAsia" w:ascii="宋体" w:hAnsi="宋体" w:eastAsia="宋体" w:cs="宋体"/>
                <w:sz w:val="24"/>
                <w:szCs w:val="24"/>
                <w:lang w:val="en-US" w:eastAsia="zh-CN"/>
              </w:rPr>
              <w:t>培训课程</w:t>
            </w:r>
            <w:r>
              <w:rPr>
                <w:rFonts w:hint="eastAsia" w:ascii="宋体" w:hAnsi="宋体" w:eastAsia="宋体" w:cs="宋体"/>
                <w:sz w:val="24"/>
                <w:szCs w:val="24"/>
              </w:rPr>
              <w:t>能够使用户人员独立对运行操作、管理、维护、故障处理、日常维护等</w:t>
            </w:r>
            <w:r>
              <w:rPr>
                <w:rFonts w:hint="eastAsia" w:cs="宋体"/>
                <w:sz w:val="24"/>
                <w:szCs w:val="24"/>
                <w:lang w:val="en-US" w:eastAsia="zh-CN"/>
              </w:rPr>
              <w:t>方案</w:t>
            </w:r>
            <w:r>
              <w:rPr>
                <w:rFonts w:hint="eastAsia" w:ascii="宋体" w:hAnsi="宋体" w:eastAsia="宋体" w:cs="宋体"/>
                <w:sz w:val="24"/>
                <w:szCs w:val="24"/>
                <w:lang w:eastAsia="zh-CN"/>
              </w:rPr>
              <w:t>，</w:t>
            </w:r>
            <w:r>
              <w:rPr>
                <w:rFonts w:hint="eastAsia" w:ascii="宋体" w:hAnsi="宋体" w:cs="宋体"/>
                <w:sz w:val="24"/>
                <w:szCs w:val="24"/>
                <w:lang w:eastAsia="zh-CN"/>
              </w:rPr>
              <w:t>全面、完整、详细、有针对性的得</w:t>
            </w:r>
            <w:r>
              <w:rPr>
                <w:rFonts w:hint="eastAsia" w:cs="宋体"/>
                <w:sz w:val="24"/>
                <w:szCs w:val="24"/>
                <w:lang w:val="en-US" w:eastAsia="zh-CN"/>
              </w:rPr>
              <w:t>7-10</w:t>
            </w:r>
            <w:r>
              <w:rPr>
                <w:rFonts w:hint="eastAsia" w:ascii="宋体" w:hAnsi="宋体" w:cs="宋体"/>
                <w:sz w:val="24"/>
                <w:szCs w:val="24"/>
                <w:lang w:eastAsia="zh-CN"/>
              </w:rPr>
              <w:t>分，</w:t>
            </w:r>
            <w:r>
              <w:rPr>
                <w:rFonts w:hint="eastAsia" w:ascii="宋体" w:hAnsi="宋体" w:cs="宋体"/>
                <w:sz w:val="24"/>
                <w:szCs w:val="24"/>
                <w:lang w:val="en-US" w:eastAsia="zh-CN"/>
              </w:rPr>
              <w:t>能基本满足本项目需求的，得</w:t>
            </w:r>
            <w:r>
              <w:rPr>
                <w:rFonts w:hint="eastAsia" w:cs="宋体"/>
                <w:sz w:val="24"/>
                <w:szCs w:val="24"/>
                <w:lang w:val="en-US" w:eastAsia="zh-CN"/>
              </w:rPr>
              <w:t>4-7</w:t>
            </w:r>
            <w:r>
              <w:rPr>
                <w:rFonts w:hint="eastAsia" w:ascii="宋体" w:hAnsi="宋体" w:cs="宋体"/>
                <w:sz w:val="24"/>
                <w:szCs w:val="24"/>
                <w:lang w:val="en-US" w:eastAsia="zh-CN"/>
              </w:rPr>
              <w:t>分</w:t>
            </w:r>
            <w:r>
              <w:rPr>
                <w:rFonts w:hint="eastAsia" w:cs="宋体"/>
                <w:sz w:val="24"/>
                <w:szCs w:val="24"/>
                <w:lang w:val="en-US" w:eastAsia="zh-CN"/>
              </w:rPr>
              <w:t>，内容粗略无重点并有缺项的，得0-4分</w:t>
            </w:r>
            <w:r>
              <w:rPr>
                <w:rFonts w:hint="eastAsia" w:ascii="宋体" w:hAnsi="宋体" w:eastAsia="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pct"/>
            <w:vMerge w:val="continue"/>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firstLine="0" w:firstLineChars="0"/>
              <w:jc w:val="center"/>
              <w:textAlignment w:val="auto"/>
              <w:rPr>
                <w:rFonts w:hint="eastAsia" w:ascii="宋体" w:hAnsi="宋体" w:eastAsia="宋体" w:cs="宋体"/>
                <w:sz w:val="24"/>
                <w:szCs w:val="24"/>
              </w:rPr>
            </w:pPr>
          </w:p>
        </w:tc>
        <w:tc>
          <w:tcPr>
            <w:tcW w:w="509" w:type="pct"/>
            <w:vAlign w:val="center"/>
          </w:tcPr>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售后服务(1</w:t>
            </w:r>
            <w:r>
              <w:rPr>
                <w:rFonts w:hint="eastAsia" w:cs="宋体"/>
                <w:sz w:val="24"/>
                <w:szCs w:val="24"/>
                <w:lang w:val="en-US" w:eastAsia="zh-CN"/>
              </w:rPr>
              <w:t>0</w:t>
            </w:r>
            <w:r>
              <w:rPr>
                <w:rFonts w:hint="eastAsia" w:ascii="宋体" w:hAnsi="宋体" w:eastAsia="宋体" w:cs="宋体"/>
                <w:sz w:val="24"/>
                <w:szCs w:val="24"/>
              </w:rPr>
              <w:t>分)</w:t>
            </w:r>
          </w:p>
        </w:tc>
        <w:tc>
          <w:tcPr>
            <w:tcW w:w="3985" w:type="pct"/>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对供应商的售后服务方案、服务标准、技术力量内容进行评审，提供内容详细、科学、合理，服务总体构架完整，层次清楚；进度内容安排合理、完整；实施计划详细合理的</w:t>
            </w:r>
            <w:r>
              <w:rPr>
                <w:rFonts w:hint="eastAsia" w:cs="宋体"/>
                <w:sz w:val="24"/>
                <w:szCs w:val="24"/>
                <w:lang w:val="en-US" w:eastAsia="zh-CN"/>
              </w:rPr>
              <w:t>，</w:t>
            </w:r>
            <w:r>
              <w:rPr>
                <w:rFonts w:hint="eastAsia" w:ascii="宋体" w:hAnsi="宋体" w:eastAsia="宋体" w:cs="宋体"/>
                <w:sz w:val="24"/>
                <w:szCs w:val="24"/>
                <w:lang w:val="en-US" w:eastAsia="zh-CN"/>
              </w:rPr>
              <w:t>得</w:t>
            </w:r>
            <w:r>
              <w:rPr>
                <w:rFonts w:hint="eastAsia" w:cs="宋体"/>
                <w:sz w:val="24"/>
                <w:szCs w:val="24"/>
                <w:lang w:val="en-US" w:eastAsia="zh-CN"/>
              </w:rPr>
              <w:t>7-10</w:t>
            </w:r>
            <w:r>
              <w:rPr>
                <w:rFonts w:hint="eastAsia" w:ascii="宋体" w:hAnsi="宋体" w:eastAsia="宋体" w:cs="宋体"/>
                <w:sz w:val="24"/>
                <w:szCs w:val="24"/>
                <w:lang w:val="en-US" w:eastAsia="zh-CN"/>
              </w:rPr>
              <w:t>分；</w:t>
            </w:r>
            <w:r>
              <w:rPr>
                <w:rFonts w:hint="eastAsia" w:cs="宋体"/>
                <w:sz w:val="24"/>
                <w:szCs w:val="24"/>
                <w:lang w:val="en-US" w:eastAsia="zh-CN" w:bidi="ar"/>
              </w:rPr>
              <w:t>方案</w:t>
            </w:r>
            <w:r>
              <w:rPr>
                <w:rFonts w:hint="eastAsia" w:ascii="宋体" w:hAnsi="宋体" w:eastAsia="宋体" w:cs="宋体"/>
                <w:b w:val="0"/>
                <w:bCs w:val="0"/>
                <w:kern w:val="0"/>
                <w:sz w:val="24"/>
                <w:szCs w:val="24"/>
                <w:highlight w:val="none"/>
                <w:u w:val="none"/>
                <w:shd w:val="clear" w:color="auto" w:fill="auto"/>
                <w:lang w:val="zh-CN" w:eastAsia="zh-CN"/>
              </w:rPr>
              <w:t>措施基本合理、安全可靠的得</w:t>
            </w:r>
            <w:r>
              <w:rPr>
                <w:rFonts w:hint="eastAsia" w:cs="宋体"/>
                <w:sz w:val="24"/>
                <w:szCs w:val="24"/>
                <w:lang w:val="en-US" w:eastAsia="zh-CN"/>
              </w:rPr>
              <w:t>4-7</w:t>
            </w:r>
            <w:r>
              <w:rPr>
                <w:rFonts w:hint="eastAsia" w:ascii="宋体" w:hAnsi="宋体" w:eastAsia="宋体" w:cs="宋体"/>
                <w:b w:val="0"/>
                <w:bCs w:val="0"/>
                <w:kern w:val="0"/>
                <w:sz w:val="24"/>
                <w:szCs w:val="24"/>
                <w:highlight w:val="none"/>
                <w:u w:val="none"/>
                <w:shd w:val="clear" w:color="auto" w:fill="auto"/>
                <w:lang w:val="zh-CN" w:eastAsia="zh-CN"/>
              </w:rPr>
              <w:t>分</w:t>
            </w:r>
            <w:r>
              <w:rPr>
                <w:rFonts w:hint="eastAsia" w:cs="宋体"/>
                <w:sz w:val="24"/>
                <w:szCs w:val="24"/>
                <w:lang w:val="en-US" w:eastAsia="zh-CN"/>
              </w:rPr>
              <w:t>，内容粗略无重点并有缺项的，得0-4分</w:t>
            </w:r>
            <w:r>
              <w:rPr>
                <w:rFonts w:hint="eastAsia" w:ascii="宋体" w:hAnsi="宋体" w:eastAsia="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pct"/>
            <w:vMerge w:val="restart"/>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firstLine="0" w:firstLineChars="0"/>
              <w:jc w:val="center"/>
              <w:textAlignment w:val="auto"/>
              <w:rPr>
                <w:rFonts w:hint="default" w:ascii="宋体" w:hAnsi="宋体" w:eastAsia="宋体" w:cs="宋体"/>
                <w:sz w:val="24"/>
                <w:szCs w:val="24"/>
                <w:lang w:val="en-US" w:eastAsia="zh-CN"/>
              </w:rPr>
            </w:pPr>
            <w:r>
              <w:rPr>
                <w:rFonts w:hint="eastAsia" w:cs="宋体"/>
                <w:sz w:val="24"/>
                <w:szCs w:val="24"/>
                <w:lang w:val="en-US" w:eastAsia="zh-CN"/>
              </w:rPr>
              <w:t>企业实力（10分）</w:t>
            </w:r>
          </w:p>
        </w:tc>
        <w:tc>
          <w:tcPr>
            <w:tcW w:w="509" w:type="pct"/>
            <w:vAlign w:val="center"/>
          </w:tcPr>
          <w:p>
            <w:pPr>
              <w:keepNext w:val="0"/>
              <w:keepLines w:val="0"/>
              <w:pageBreakBefore w:val="0"/>
              <w:kinsoku/>
              <w:wordWrap/>
              <w:overflowPunct/>
              <w:topLinePunct w:val="0"/>
              <w:autoSpaceDE/>
              <w:autoSpaceDN/>
              <w:bidi w:val="0"/>
              <w:adjustRightInd w:val="0"/>
              <w:snapToGrid w:val="0"/>
              <w:spacing w:line="360" w:lineRule="auto"/>
              <w:ind w:lef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技术团队(</w:t>
            </w:r>
            <w:r>
              <w:rPr>
                <w:rFonts w:hint="eastAsia" w:cs="宋体"/>
                <w:sz w:val="24"/>
                <w:szCs w:val="24"/>
                <w:highlight w:val="none"/>
                <w:lang w:val="en-US" w:eastAsia="zh-CN"/>
              </w:rPr>
              <w:t>3</w:t>
            </w:r>
            <w:r>
              <w:rPr>
                <w:rFonts w:hint="eastAsia" w:ascii="宋体" w:hAnsi="宋体" w:eastAsia="宋体" w:cs="宋体"/>
                <w:sz w:val="24"/>
                <w:szCs w:val="24"/>
                <w:highlight w:val="none"/>
              </w:rPr>
              <w:t>分)</w:t>
            </w:r>
          </w:p>
        </w:tc>
        <w:tc>
          <w:tcPr>
            <w:tcW w:w="3985" w:type="pct"/>
            <w:shd w:val="clear" w:color="auto" w:fill="auto"/>
            <w:vAlign w:val="center"/>
          </w:tcPr>
          <w:p>
            <w:pPr>
              <w:pStyle w:val="36"/>
              <w:keepNext w:val="0"/>
              <w:keepLines w:val="0"/>
              <w:pageBreakBefore w:val="0"/>
              <w:widowControl/>
              <w:numPr>
                <w:ilvl w:val="0"/>
                <w:numId w:val="0"/>
              </w:numPr>
              <w:kinsoku/>
              <w:wordWrap/>
              <w:overflowPunct/>
              <w:topLinePunct w:val="0"/>
              <w:autoSpaceDE/>
              <w:autoSpaceDN/>
              <w:bidi w:val="0"/>
              <w:adjustRightInd w:val="0"/>
              <w:snapToGrid w:val="0"/>
              <w:spacing w:before="0" w:line="360" w:lineRule="auto"/>
              <w:ind w:leftChars="0"/>
              <w:jc w:val="left"/>
              <w:textAlignment w:val="auto"/>
              <w:rPr>
                <w:rFonts w:hint="eastAsia" w:ascii="宋体" w:hAnsi="宋体" w:eastAsia="宋体" w:cs="宋体"/>
                <w:sz w:val="24"/>
                <w:szCs w:val="24"/>
                <w:highlight w:val="none"/>
              </w:rPr>
            </w:pPr>
            <w:r>
              <w:rPr>
                <w:rFonts w:hint="eastAsia" w:cs="宋体"/>
                <w:sz w:val="24"/>
                <w:szCs w:val="24"/>
                <w:highlight w:val="none"/>
                <w:lang w:val="en-US" w:eastAsia="zh-CN"/>
              </w:rPr>
              <w:t>1.</w:t>
            </w:r>
            <w:r>
              <w:rPr>
                <w:rFonts w:hint="eastAsia" w:ascii="宋体" w:hAnsi="宋体" w:eastAsia="宋体" w:cs="宋体"/>
                <w:sz w:val="24"/>
                <w:szCs w:val="24"/>
                <w:highlight w:val="none"/>
              </w:rPr>
              <w:t>供应商拟派本项目负责人具备信息系统项目管理师（高级）证</w:t>
            </w:r>
            <w:r>
              <w:rPr>
                <w:rFonts w:hint="eastAsia" w:cs="宋体"/>
                <w:sz w:val="24"/>
                <w:szCs w:val="24"/>
                <w:highlight w:val="none"/>
                <w:lang w:val="en-US" w:eastAsia="zh-CN"/>
              </w:rPr>
              <w:t>书</w:t>
            </w:r>
            <w:r>
              <w:rPr>
                <w:rFonts w:hint="eastAsia" w:ascii="宋体" w:hAnsi="宋体" w:eastAsia="宋体" w:cs="宋体"/>
                <w:sz w:val="24"/>
                <w:szCs w:val="24"/>
                <w:highlight w:val="none"/>
              </w:rPr>
              <w:t>的得</w:t>
            </w:r>
            <w:r>
              <w:rPr>
                <w:rFonts w:hint="eastAsia" w:cs="宋体"/>
                <w:sz w:val="24"/>
                <w:szCs w:val="24"/>
                <w:highlight w:val="none"/>
                <w:lang w:val="en-US" w:eastAsia="zh-CN"/>
              </w:rPr>
              <w:t>1</w:t>
            </w:r>
            <w:r>
              <w:rPr>
                <w:rFonts w:hint="eastAsia" w:ascii="宋体" w:hAnsi="宋体" w:eastAsia="宋体" w:cs="宋体"/>
                <w:sz w:val="24"/>
                <w:szCs w:val="24"/>
                <w:highlight w:val="none"/>
              </w:rPr>
              <w:t>分。</w:t>
            </w:r>
          </w:p>
          <w:p>
            <w:pPr>
              <w:pStyle w:val="36"/>
              <w:keepNext w:val="0"/>
              <w:keepLines w:val="0"/>
              <w:pageBreakBefore w:val="0"/>
              <w:widowControl/>
              <w:numPr>
                <w:ilvl w:val="0"/>
                <w:numId w:val="0"/>
              </w:numPr>
              <w:kinsoku/>
              <w:wordWrap/>
              <w:overflowPunct/>
              <w:topLinePunct w:val="0"/>
              <w:autoSpaceDE/>
              <w:autoSpaceDN/>
              <w:bidi w:val="0"/>
              <w:adjustRightInd w:val="0"/>
              <w:snapToGrid w:val="0"/>
              <w:spacing w:before="0" w:line="360" w:lineRule="auto"/>
              <w:ind w:leftChars="0"/>
              <w:jc w:val="left"/>
              <w:textAlignment w:val="auto"/>
              <w:rPr>
                <w:rFonts w:hint="eastAsia" w:ascii="宋体" w:hAnsi="宋体" w:eastAsia="宋体" w:cs="宋体"/>
                <w:sz w:val="24"/>
                <w:szCs w:val="24"/>
                <w:highlight w:val="none"/>
              </w:rPr>
            </w:pPr>
            <w:r>
              <w:rPr>
                <w:rFonts w:hint="eastAsia" w:cs="宋体"/>
                <w:sz w:val="24"/>
                <w:szCs w:val="24"/>
                <w:highlight w:val="none"/>
                <w:lang w:val="en-US" w:eastAsia="zh-CN"/>
              </w:rPr>
              <w:t>2.</w:t>
            </w:r>
            <w:r>
              <w:rPr>
                <w:rFonts w:hint="eastAsia" w:ascii="宋体" w:hAnsi="宋体" w:eastAsia="宋体" w:cs="宋体"/>
                <w:sz w:val="24"/>
                <w:szCs w:val="24"/>
                <w:highlight w:val="none"/>
              </w:rPr>
              <w:t>供应商拟派本项目技术人员具备信息安全保障从业人员认证(CISAW)证书的得</w:t>
            </w:r>
            <w:r>
              <w:rPr>
                <w:rFonts w:hint="eastAsia" w:cs="宋体"/>
                <w:sz w:val="24"/>
                <w:szCs w:val="24"/>
                <w:highlight w:val="none"/>
                <w:lang w:val="en-US" w:eastAsia="zh-CN"/>
              </w:rPr>
              <w:t>1</w:t>
            </w:r>
            <w:r>
              <w:rPr>
                <w:rFonts w:hint="eastAsia" w:ascii="宋体" w:hAnsi="宋体" w:eastAsia="宋体" w:cs="宋体"/>
                <w:sz w:val="24"/>
                <w:szCs w:val="24"/>
                <w:highlight w:val="none"/>
              </w:rPr>
              <w:t>分。</w:t>
            </w:r>
          </w:p>
          <w:p>
            <w:pPr>
              <w:pStyle w:val="36"/>
              <w:keepNext w:val="0"/>
              <w:keepLines w:val="0"/>
              <w:pageBreakBefore w:val="0"/>
              <w:widowControl/>
              <w:numPr>
                <w:ilvl w:val="0"/>
                <w:numId w:val="0"/>
              </w:numPr>
              <w:kinsoku/>
              <w:wordWrap/>
              <w:overflowPunct/>
              <w:topLinePunct w:val="0"/>
              <w:autoSpaceDE/>
              <w:autoSpaceDN/>
              <w:bidi w:val="0"/>
              <w:adjustRightInd w:val="0"/>
              <w:snapToGrid w:val="0"/>
              <w:spacing w:before="0" w:line="360" w:lineRule="auto"/>
              <w:ind w:leftChars="0"/>
              <w:jc w:val="left"/>
              <w:textAlignment w:val="auto"/>
              <w:rPr>
                <w:rFonts w:hint="eastAsia" w:ascii="宋体" w:hAnsi="宋体" w:eastAsia="宋体" w:cs="宋体"/>
                <w:sz w:val="24"/>
                <w:szCs w:val="24"/>
                <w:highlight w:val="none"/>
              </w:rPr>
            </w:pPr>
            <w:r>
              <w:rPr>
                <w:rFonts w:hint="eastAsia" w:cs="宋体"/>
                <w:sz w:val="24"/>
                <w:szCs w:val="24"/>
                <w:highlight w:val="none"/>
                <w:lang w:val="en-US" w:eastAsia="zh-CN"/>
              </w:rPr>
              <w:t>3.</w:t>
            </w:r>
            <w:r>
              <w:rPr>
                <w:rFonts w:hint="eastAsia" w:ascii="宋体" w:hAnsi="宋体" w:eastAsia="宋体" w:cs="宋体"/>
                <w:sz w:val="24"/>
                <w:szCs w:val="24"/>
                <w:highlight w:val="none"/>
              </w:rPr>
              <w:t>供应商拟派本项目技术人员具备CISP认证证书的得</w:t>
            </w:r>
            <w:r>
              <w:rPr>
                <w:rFonts w:hint="eastAsia" w:cs="宋体"/>
                <w:sz w:val="24"/>
                <w:szCs w:val="24"/>
                <w:highlight w:val="none"/>
                <w:lang w:val="en-US" w:eastAsia="zh-CN"/>
              </w:rPr>
              <w:t>1</w:t>
            </w:r>
            <w:r>
              <w:rPr>
                <w:rFonts w:hint="eastAsia" w:ascii="宋体" w:hAnsi="宋体" w:eastAsia="宋体" w:cs="宋体"/>
                <w:sz w:val="24"/>
                <w:szCs w:val="24"/>
                <w:highlight w:val="none"/>
              </w:rPr>
              <w:t>分。</w:t>
            </w:r>
          </w:p>
          <w:p>
            <w:pPr>
              <w:keepNext w:val="0"/>
              <w:keepLines w:val="0"/>
              <w:pageBreakBefore w:val="0"/>
              <w:kinsoku/>
              <w:wordWrap/>
              <w:overflowPunct/>
              <w:topLinePunct w:val="0"/>
              <w:autoSpaceDE/>
              <w:autoSpaceDN/>
              <w:bidi w:val="0"/>
              <w:adjustRightInd w:val="0"/>
              <w:snapToGrid w:val="0"/>
              <w:spacing w:line="360" w:lineRule="auto"/>
              <w:ind w:left="0" w:firstLine="0" w:firstLineChars="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注：</w:t>
            </w:r>
            <w:r>
              <w:rPr>
                <w:rFonts w:hint="eastAsia" w:cs="宋体"/>
                <w:b/>
                <w:bCs/>
                <w:sz w:val="24"/>
                <w:szCs w:val="24"/>
                <w:highlight w:val="none"/>
                <w:lang w:val="en-US" w:eastAsia="zh-CN"/>
              </w:rPr>
              <w:t>上述人员</w:t>
            </w:r>
            <w:r>
              <w:rPr>
                <w:rFonts w:hint="eastAsia" w:ascii="宋体" w:hAnsi="宋体" w:eastAsia="宋体" w:cs="宋体"/>
                <w:b/>
                <w:bCs/>
                <w:sz w:val="24"/>
                <w:szCs w:val="24"/>
                <w:highlight w:val="none"/>
              </w:rPr>
              <w:t>须</w:t>
            </w:r>
            <w:r>
              <w:rPr>
                <w:rFonts w:hint="eastAsia" w:ascii="宋体" w:hAnsi="宋体" w:eastAsia="宋体" w:cs="宋体"/>
                <w:b/>
                <w:bCs/>
                <w:sz w:val="24"/>
                <w:szCs w:val="24"/>
                <w:highlight w:val="none"/>
                <w:lang w:val="en-US" w:eastAsia="zh-CN"/>
              </w:rPr>
              <w:t>提供证书原件</w:t>
            </w:r>
            <w:r>
              <w:rPr>
                <w:rFonts w:hint="eastAsia" w:cs="宋体"/>
                <w:b/>
                <w:bCs/>
                <w:sz w:val="24"/>
                <w:szCs w:val="24"/>
                <w:highlight w:val="none"/>
                <w:lang w:val="en-US" w:eastAsia="zh-CN"/>
              </w:rPr>
              <w:t>及</w:t>
            </w:r>
            <w:r>
              <w:rPr>
                <w:rFonts w:hint="eastAsia" w:ascii="宋体" w:hAnsi="宋体" w:eastAsia="宋体" w:cs="宋体"/>
                <w:b/>
                <w:bCs/>
                <w:sz w:val="24"/>
                <w:szCs w:val="24"/>
                <w:highlight w:val="none"/>
              </w:rPr>
              <w:t>近3个月在本单位缴纳社保的证明</w:t>
            </w:r>
            <w:r>
              <w:rPr>
                <w:rFonts w:hint="eastAsia" w:cs="宋体"/>
                <w:b/>
                <w:bCs/>
                <w:sz w:val="24"/>
                <w:szCs w:val="24"/>
                <w:highlight w:val="none"/>
                <w:lang w:eastAsia="zh-CN"/>
              </w:rPr>
              <w:t>，</w:t>
            </w:r>
            <w:r>
              <w:rPr>
                <w:rFonts w:hint="eastAsia" w:ascii="宋体" w:hAnsi="宋体" w:eastAsia="宋体" w:cs="宋体"/>
                <w:b/>
                <w:bCs/>
                <w:sz w:val="24"/>
                <w:szCs w:val="24"/>
              </w:rPr>
              <w:t>同时附在响应文件中</w:t>
            </w:r>
            <w:r>
              <w:rPr>
                <w:rFonts w:hint="eastAsia" w:ascii="宋体" w:hAnsi="宋体" w:eastAsia="宋体" w:cs="宋体"/>
                <w:b/>
                <w:bCs/>
                <w:sz w:val="24"/>
                <w:szCs w:val="24"/>
                <w:highlight w:val="none"/>
              </w:rPr>
              <w:t>，否则不予计分。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pct"/>
            <w:vMerge w:val="continue"/>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firstLine="0" w:firstLineChars="0"/>
              <w:jc w:val="center"/>
              <w:textAlignment w:val="auto"/>
              <w:rPr>
                <w:rFonts w:hint="eastAsia" w:ascii="宋体" w:hAnsi="宋体" w:eastAsia="宋体" w:cs="宋体"/>
                <w:sz w:val="24"/>
                <w:szCs w:val="24"/>
              </w:rPr>
            </w:pPr>
          </w:p>
        </w:tc>
        <w:tc>
          <w:tcPr>
            <w:tcW w:w="509" w:type="pct"/>
            <w:vAlign w:val="center"/>
          </w:tcPr>
          <w:p>
            <w:pPr>
              <w:keepNext w:val="0"/>
              <w:keepLines w:val="0"/>
              <w:pageBreakBefore w:val="0"/>
              <w:kinsoku/>
              <w:wordWrap/>
              <w:overflowPunct/>
              <w:topLinePunct w:val="0"/>
              <w:autoSpaceDE/>
              <w:autoSpaceDN/>
              <w:bidi w:val="0"/>
              <w:adjustRightInd w:val="0"/>
              <w:snapToGrid w:val="0"/>
              <w:spacing w:line="360" w:lineRule="auto"/>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业绩</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cs="宋体"/>
                <w:sz w:val="24"/>
                <w:szCs w:val="24"/>
                <w:lang w:val="en-US" w:eastAsia="zh-CN"/>
              </w:rPr>
              <w:t>2</w:t>
            </w:r>
            <w:r>
              <w:rPr>
                <w:rFonts w:hint="eastAsia" w:ascii="宋体" w:hAnsi="宋体" w:eastAsia="宋体" w:cs="宋体"/>
                <w:sz w:val="24"/>
                <w:szCs w:val="24"/>
              </w:rPr>
              <w:t>分)</w:t>
            </w:r>
          </w:p>
        </w:tc>
        <w:tc>
          <w:tcPr>
            <w:tcW w:w="3985" w:type="pct"/>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lang w:val="en-US" w:eastAsia="zh-CN"/>
              </w:rPr>
              <w:t>提供</w:t>
            </w:r>
            <w:r>
              <w:rPr>
                <w:rFonts w:hint="eastAsia" w:ascii="宋体" w:hAnsi="宋体" w:eastAsia="宋体" w:cs="宋体"/>
                <w:sz w:val="24"/>
                <w:szCs w:val="24"/>
              </w:rPr>
              <w:t>所完成的</w:t>
            </w:r>
            <w:r>
              <w:rPr>
                <w:rFonts w:hint="eastAsia" w:ascii="宋体" w:hAnsi="宋体" w:eastAsia="宋体" w:cs="宋体"/>
                <w:sz w:val="24"/>
                <w:szCs w:val="24"/>
                <w:lang w:val="en-US" w:eastAsia="zh-CN"/>
              </w:rPr>
              <w:t>近三年同</w:t>
            </w:r>
            <w:r>
              <w:rPr>
                <w:rFonts w:hint="eastAsia" w:ascii="宋体" w:hAnsi="宋体" w:eastAsia="宋体" w:cs="宋体"/>
                <w:sz w:val="24"/>
                <w:szCs w:val="24"/>
              </w:rPr>
              <w:t>类</w:t>
            </w:r>
            <w:r>
              <w:rPr>
                <w:rFonts w:hint="eastAsia" w:ascii="宋体" w:hAnsi="宋体" w:eastAsia="宋体" w:cs="宋体"/>
                <w:sz w:val="24"/>
                <w:szCs w:val="24"/>
                <w:lang w:val="en-US" w:eastAsia="zh-CN"/>
              </w:rPr>
              <w:t>项目业绩，每有一份可得</w:t>
            </w:r>
            <w:r>
              <w:rPr>
                <w:rFonts w:hint="eastAsia" w:cs="宋体"/>
                <w:sz w:val="24"/>
                <w:szCs w:val="24"/>
                <w:lang w:val="en-US" w:eastAsia="zh-CN"/>
              </w:rPr>
              <w:t>0.5</w:t>
            </w:r>
            <w:r>
              <w:rPr>
                <w:rFonts w:hint="eastAsia" w:ascii="宋体" w:hAnsi="宋体" w:eastAsia="宋体" w:cs="宋体"/>
                <w:sz w:val="24"/>
                <w:szCs w:val="24"/>
              </w:rPr>
              <w:t>分，最高</w:t>
            </w:r>
            <w:r>
              <w:rPr>
                <w:rFonts w:hint="eastAsia" w:ascii="宋体" w:hAnsi="宋体" w:eastAsia="宋体" w:cs="宋体"/>
                <w:sz w:val="24"/>
                <w:szCs w:val="24"/>
                <w:lang w:val="en-US" w:eastAsia="zh-CN"/>
              </w:rPr>
              <w:t>得</w:t>
            </w:r>
            <w:r>
              <w:rPr>
                <w:rFonts w:hint="eastAsia" w:cs="宋体"/>
                <w:sz w:val="24"/>
                <w:szCs w:val="24"/>
                <w:lang w:val="en-US" w:eastAsia="zh-CN"/>
              </w:rPr>
              <w:t>2</w:t>
            </w:r>
            <w:r>
              <w:rPr>
                <w:rFonts w:hint="eastAsia" w:ascii="宋体" w:hAnsi="宋体" w:eastAsia="宋体" w:cs="宋体"/>
                <w:sz w:val="24"/>
                <w:szCs w:val="24"/>
              </w:rPr>
              <w:t xml:space="preserve">分。 </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b/>
                <w:bCs/>
                <w:sz w:val="24"/>
                <w:szCs w:val="24"/>
              </w:rPr>
              <w:t>注：须提供合同原件，同时附在响应文件中，否则</w:t>
            </w:r>
            <w:r>
              <w:rPr>
                <w:rFonts w:hint="eastAsia" w:ascii="宋体" w:hAnsi="宋体" w:eastAsia="宋体" w:cs="宋体"/>
                <w:b/>
                <w:bCs/>
                <w:sz w:val="24"/>
                <w:szCs w:val="24"/>
                <w:highlight w:val="none"/>
              </w:rPr>
              <w:t>不予计分</w:t>
            </w:r>
            <w:r>
              <w:rPr>
                <w:rFonts w:hint="eastAsia" w:ascii="宋体" w:hAnsi="宋体" w:eastAsia="宋体" w:cs="宋体"/>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pct"/>
            <w:vMerge w:val="continue"/>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firstLine="0" w:firstLineChars="0"/>
              <w:jc w:val="center"/>
              <w:textAlignment w:val="auto"/>
              <w:rPr>
                <w:rFonts w:hint="eastAsia" w:ascii="宋体" w:hAnsi="宋体" w:eastAsia="宋体" w:cs="宋体"/>
                <w:sz w:val="24"/>
                <w:szCs w:val="24"/>
              </w:rPr>
            </w:pPr>
          </w:p>
        </w:tc>
        <w:tc>
          <w:tcPr>
            <w:tcW w:w="509" w:type="pct"/>
            <w:vAlign w:val="center"/>
          </w:tcPr>
          <w:p>
            <w:pPr>
              <w:keepNext w:val="0"/>
              <w:keepLines w:val="0"/>
              <w:pageBreakBefore w:val="0"/>
              <w:kinsoku/>
              <w:wordWrap/>
              <w:overflowPunct/>
              <w:topLinePunct w:val="0"/>
              <w:autoSpaceDE/>
              <w:autoSpaceDN/>
              <w:bidi w:val="0"/>
              <w:adjustRightInd w:val="0"/>
              <w:snapToGrid w:val="0"/>
              <w:spacing w:line="360" w:lineRule="auto"/>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highlight w:val="none"/>
              </w:rPr>
              <w:t>企业实力(</w:t>
            </w:r>
            <w:r>
              <w:rPr>
                <w:rFonts w:hint="eastAsia" w:cs="宋体"/>
                <w:sz w:val="24"/>
                <w:szCs w:val="24"/>
                <w:highlight w:val="none"/>
                <w:lang w:val="en-US" w:eastAsia="zh-CN"/>
              </w:rPr>
              <w:t>5</w:t>
            </w:r>
            <w:r>
              <w:rPr>
                <w:rFonts w:hint="eastAsia" w:ascii="宋体" w:hAnsi="宋体" w:eastAsia="宋体" w:cs="宋体"/>
                <w:sz w:val="24"/>
                <w:szCs w:val="24"/>
                <w:highlight w:val="none"/>
              </w:rPr>
              <w:t>分)</w:t>
            </w:r>
          </w:p>
        </w:tc>
        <w:tc>
          <w:tcPr>
            <w:tcW w:w="3985" w:type="pct"/>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ind w:lef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投标供应商具有ISO20000信息技术服务管理体系标准，得</w:t>
            </w:r>
            <w:r>
              <w:rPr>
                <w:rFonts w:hint="eastAsia" w:cs="宋体"/>
                <w:sz w:val="24"/>
                <w:szCs w:val="24"/>
                <w:highlight w:val="none"/>
                <w:lang w:val="en-US" w:eastAsia="zh-CN"/>
              </w:rPr>
              <w:t>1</w:t>
            </w:r>
            <w:r>
              <w:rPr>
                <w:rFonts w:hint="eastAsia" w:ascii="宋体" w:hAnsi="宋体" w:eastAsia="宋体" w:cs="宋体"/>
                <w:sz w:val="24"/>
                <w:szCs w:val="24"/>
                <w:highlight w:val="none"/>
              </w:rPr>
              <w:t>分；</w:t>
            </w:r>
          </w:p>
          <w:p>
            <w:pPr>
              <w:keepNext w:val="0"/>
              <w:keepLines w:val="0"/>
              <w:pageBreakBefore w:val="0"/>
              <w:kinsoku/>
              <w:wordWrap/>
              <w:overflowPunct/>
              <w:topLinePunct w:val="0"/>
              <w:autoSpaceDE/>
              <w:autoSpaceDN/>
              <w:bidi w:val="0"/>
              <w:adjustRightInd w:val="0"/>
              <w:snapToGrid w:val="0"/>
              <w:spacing w:line="360" w:lineRule="auto"/>
              <w:ind w:lef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投标供应商具有ISO27001信息安全管理体系标准，得</w:t>
            </w:r>
            <w:r>
              <w:rPr>
                <w:rFonts w:hint="eastAsia" w:cs="宋体"/>
                <w:sz w:val="24"/>
                <w:szCs w:val="24"/>
                <w:highlight w:val="none"/>
                <w:lang w:val="en-US" w:eastAsia="zh-CN"/>
              </w:rPr>
              <w:t>1</w:t>
            </w:r>
            <w:r>
              <w:rPr>
                <w:rFonts w:hint="eastAsia" w:ascii="宋体" w:hAnsi="宋体" w:eastAsia="宋体" w:cs="宋体"/>
                <w:sz w:val="24"/>
                <w:szCs w:val="24"/>
                <w:highlight w:val="none"/>
              </w:rPr>
              <w:t>分；</w:t>
            </w:r>
          </w:p>
          <w:p>
            <w:pPr>
              <w:keepNext w:val="0"/>
              <w:keepLines w:val="0"/>
              <w:pageBreakBefore w:val="0"/>
              <w:kinsoku/>
              <w:wordWrap/>
              <w:overflowPunct/>
              <w:topLinePunct w:val="0"/>
              <w:autoSpaceDE/>
              <w:autoSpaceDN/>
              <w:bidi w:val="0"/>
              <w:adjustRightInd w:val="0"/>
              <w:snapToGrid w:val="0"/>
              <w:spacing w:line="360" w:lineRule="auto"/>
              <w:ind w:lef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投标供应商具有信息安全服务资质CCRC，得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p>
          <w:p>
            <w:pPr>
              <w:keepNext w:val="0"/>
              <w:keepLines w:val="0"/>
              <w:pageBreakBefore w:val="0"/>
              <w:kinsoku/>
              <w:wordWrap/>
              <w:overflowPunct/>
              <w:topLinePunct w:val="0"/>
              <w:autoSpaceDE/>
              <w:autoSpaceDN/>
              <w:bidi w:val="0"/>
              <w:adjustRightInd w:val="0"/>
              <w:snapToGrid w:val="0"/>
              <w:spacing w:line="360" w:lineRule="auto"/>
              <w:ind w:lef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投标供应商具有ITSS信息技术服务标准认证，得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p>
          <w:p>
            <w:pPr>
              <w:keepNext w:val="0"/>
              <w:keepLines w:val="0"/>
              <w:pageBreakBefore w:val="0"/>
              <w:kinsoku/>
              <w:wordWrap/>
              <w:overflowPunct/>
              <w:topLinePunct w:val="0"/>
              <w:autoSpaceDE/>
              <w:autoSpaceDN/>
              <w:bidi w:val="0"/>
              <w:adjustRightInd w:val="0"/>
              <w:snapToGrid w:val="0"/>
              <w:spacing w:line="360" w:lineRule="auto"/>
              <w:ind w:lef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投标供应商具有运维服务领域AAA级信用企业证书得</w:t>
            </w:r>
            <w:r>
              <w:rPr>
                <w:rFonts w:hint="eastAsia" w:cs="宋体"/>
                <w:sz w:val="24"/>
                <w:szCs w:val="24"/>
                <w:highlight w:val="none"/>
                <w:lang w:val="en-US" w:eastAsia="zh-CN"/>
              </w:rPr>
              <w:t>1</w:t>
            </w:r>
            <w:r>
              <w:rPr>
                <w:rFonts w:hint="eastAsia" w:ascii="宋体" w:hAnsi="宋体" w:eastAsia="宋体" w:cs="宋体"/>
                <w:sz w:val="24"/>
                <w:szCs w:val="24"/>
                <w:highlight w:val="none"/>
              </w:rPr>
              <w:t>分；</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b/>
                <w:bCs/>
                <w:sz w:val="24"/>
                <w:szCs w:val="24"/>
                <w:highlight w:val="none"/>
              </w:rPr>
              <w:t>注：须</w:t>
            </w:r>
            <w:r>
              <w:rPr>
                <w:rFonts w:hint="eastAsia" w:ascii="宋体" w:hAnsi="宋体" w:eastAsia="宋体" w:cs="宋体"/>
                <w:b/>
                <w:bCs/>
                <w:sz w:val="24"/>
                <w:szCs w:val="24"/>
                <w:highlight w:val="none"/>
                <w:lang w:val="en-US" w:eastAsia="zh-CN"/>
              </w:rPr>
              <w:t>提供证书原件</w:t>
            </w:r>
            <w:r>
              <w:rPr>
                <w:rFonts w:hint="eastAsia" w:ascii="宋体" w:hAnsi="宋体" w:eastAsia="宋体" w:cs="宋体"/>
                <w:b/>
                <w:bCs/>
                <w:sz w:val="24"/>
                <w:szCs w:val="24"/>
                <w:highlight w:val="none"/>
              </w:rPr>
              <w:t>，</w:t>
            </w:r>
            <w:r>
              <w:rPr>
                <w:rFonts w:hint="eastAsia" w:ascii="宋体" w:hAnsi="宋体" w:eastAsia="宋体" w:cs="宋体"/>
                <w:b/>
                <w:bCs/>
                <w:sz w:val="24"/>
                <w:szCs w:val="24"/>
              </w:rPr>
              <w:t>同时附在响应文件中</w:t>
            </w:r>
            <w:r>
              <w:rPr>
                <w:rFonts w:hint="eastAsia" w:ascii="宋体" w:hAnsi="宋体" w:eastAsia="宋体" w:cs="宋体"/>
                <w:b/>
                <w:bCs/>
                <w:sz w:val="24"/>
                <w:szCs w:val="24"/>
                <w:highlight w:val="none"/>
              </w:rPr>
              <w:t>，否则不予计分。</w:t>
            </w:r>
          </w:p>
        </w:tc>
      </w:tr>
    </w:tbl>
    <w:p>
      <w:pPr>
        <w:spacing w:line="360" w:lineRule="auto"/>
        <w:ind w:left="0" w:leftChars="0" w:firstLine="0" w:firstLineChars="0"/>
        <w:jc w:val="both"/>
        <w:outlineLvl w:val="1"/>
        <w:rPr>
          <w:rFonts w:hint="eastAsia" w:ascii="宋体" w:hAnsi="宋体" w:eastAsia="宋体" w:cs="宋体"/>
        </w:rPr>
      </w:pPr>
    </w:p>
    <w:p>
      <w:pPr>
        <w:pStyle w:val="8"/>
        <w:rPr>
          <w:rFonts w:hint="eastAsia" w:ascii="宋体" w:hAnsi="宋体" w:eastAsia="宋体" w:cs="宋体"/>
        </w:rPr>
      </w:pPr>
    </w:p>
    <w:p>
      <w:pPr>
        <w:spacing w:line="360" w:lineRule="auto"/>
        <w:rPr>
          <w:rFonts w:hint="eastAsia" w:cs="宋体"/>
          <w:b/>
          <w:bCs/>
          <w:lang w:val="en-US" w:eastAsia="zh-CN"/>
        </w:rPr>
      </w:pPr>
      <w:r>
        <w:rPr>
          <w:rFonts w:hint="eastAsia" w:cs="宋体"/>
          <w:b/>
          <w:bCs/>
          <w:lang w:val="en-US" w:eastAsia="zh-CN"/>
        </w:rPr>
        <w:t>注：1.本评分标准表中凡涉及到的企业实力必须提供证书原件并</w:t>
      </w:r>
      <w:r>
        <w:rPr>
          <w:rFonts w:hint="eastAsia" w:ascii="宋体" w:hAnsi="宋体" w:eastAsia="宋体" w:cs="宋体"/>
          <w:b/>
          <w:bCs/>
          <w:sz w:val="24"/>
          <w:szCs w:val="24"/>
        </w:rPr>
        <w:t>附在响应文件中</w:t>
      </w:r>
      <w:r>
        <w:rPr>
          <w:rFonts w:hint="eastAsia" w:cs="宋体"/>
          <w:b/>
          <w:bCs/>
          <w:lang w:val="en-US" w:eastAsia="zh-CN"/>
        </w:rPr>
        <w:t>，否则不得分。</w:t>
      </w:r>
    </w:p>
    <w:p>
      <w:pPr>
        <w:rPr>
          <w:rFonts w:hint="eastAsia" w:eastAsia="宋体"/>
          <w:lang w:val="en-US" w:eastAsia="zh-CN"/>
        </w:rPr>
        <w:sectPr>
          <w:footerReference r:id="rId8" w:type="default"/>
          <w:pgSz w:w="11910" w:h="16840"/>
          <w:pgMar w:top="1417" w:right="1417" w:bottom="1420" w:left="1417" w:header="0" w:footer="1214" w:gutter="0"/>
          <w:pgNumType w:start="1"/>
          <w:cols w:space="720" w:num="1"/>
        </w:sectPr>
      </w:pPr>
    </w:p>
    <w:p>
      <w:pPr>
        <w:pStyle w:val="12"/>
        <w:jc w:val="center"/>
        <w:outlineLvl w:val="0"/>
        <w:rPr>
          <w:rFonts w:hint="eastAsia" w:ascii="宋体" w:hAnsi="宋体" w:eastAsia="宋体" w:cs="宋体"/>
          <w:sz w:val="36"/>
          <w:szCs w:val="36"/>
          <w:highlight w:val="yellow"/>
        </w:rPr>
      </w:pPr>
      <w:bookmarkStart w:id="113" w:name="_Toc19073_WPSOffice_Level1"/>
      <w:bookmarkStart w:id="114" w:name="_Toc16760"/>
      <w:bookmarkStart w:id="115" w:name="_Toc28059"/>
      <w:bookmarkStart w:id="116" w:name="_Toc27315"/>
      <w:bookmarkStart w:id="117" w:name="_Toc20911"/>
      <w:bookmarkStart w:id="118" w:name="_Toc2494_WPSOffice_Level1"/>
      <w:bookmarkStart w:id="119" w:name="_Toc2297"/>
      <w:bookmarkStart w:id="120" w:name="_Toc20231_WPSOffice_Level1"/>
      <w:r>
        <w:rPr>
          <w:rFonts w:hint="eastAsia" w:ascii="宋体" w:hAnsi="宋体" w:eastAsia="宋体" w:cs="宋体"/>
          <w:sz w:val="36"/>
          <w:szCs w:val="36"/>
        </w:rPr>
        <w:t>第四章 合同条款</w:t>
      </w:r>
      <w:bookmarkEnd w:id="113"/>
      <w:bookmarkEnd w:id="114"/>
      <w:bookmarkEnd w:id="115"/>
      <w:bookmarkEnd w:id="116"/>
      <w:bookmarkEnd w:id="117"/>
      <w:bookmarkEnd w:id="118"/>
    </w:p>
    <w:p>
      <w:pPr>
        <w:adjustRightInd w:val="0"/>
        <w:snapToGrid w:val="0"/>
        <w:spacing w:beforeLines="50" w:line="360" w:lineRule="auto"/>
        <w:jc w:val="center"/>
        <w:rPr>
          <w:rFonts w:hint="eastAsia" w:ascii="宋体" w:hAnsi="宋体" w:eastAsia="宋体" w:cs="宋体"/>
          <w:b/>
          <w:bCs/>
          <w:sz w:val="24"/>
        </w:rPr>
      </w:pPr>
      <w:bookmarkStart w:id="121" w:name="_Toc27926"/>
      <w:bookmarkStart w:id="122" w:name="_Toc8773"/>
      <w:bookmarkStart w:id="123" w:name="_Toc9676"/>
    </w:p>
    <w:p>
      <w:pPr>
        <w:adjustRightInd w:val="0"/>
        <w:snapToGrid w:val="0"/>
        <w:spacing w:beforeLines="50" w:line="360" w:lineRule="auto"/>
        <w:jc w:val="center"/>
        <w:rPr>
          <w:rFonts w:hint="eastAsia" w:ascii="宋体" w:hAnsi="宋体" w:eastAsia="宋体" w:cs="宋体"/>
          <w:b/>
          <w:bCs/>
          <w:sz w:val="24"/>
        </w:rPr>
      </w:pPr>
    </w:p>
    <w:bookmarkEnd w:id="121"/>
    <w:bookmarkEnd w:id="122"/>
    <w:bookmarkEnd w:id="123"/>
    <w:p>
      <w:pPr>
        <w:pStyle w:val="29"/>
        <w:ind w:left="0" w:leftChars="0" w:firstLine="0" w:firstLineChars="0"/>
        <w:jc w:val="center"/>
        <w:rPr>
          <w:rFonts w:hint="eastAsia" w:ascii="宋体" w:hAnsi="宋体" w:eastAsia="宋体" w:cs="宋体"/>
        </w:rPr>
      </w:pPr>
      <w:r>
        <w:rPr>
          <w:rFonts w:hint="eastAsia" w:ascii="宋体" w:hAnsi="宋体" w:eastAsia="宋体" w:cs="宋体"/>
          <w:b/>
          <w:kern w:val="40"/>
          <w:sz w:val="24"/>
          <w:szCs w:val="24"/>
          <w:highlight w:val="none"/>
          <w:lang w:eastAsia="zh-CN"/>
        </w:rPr>
        <w:t>（</w:t>
      </w:r>
      <w:r>
        <w:rPr>
          <w:rFonts w:hint="eastAsia" w:ascii="宋体" w:hAnsi="宋体" w:eastAsia="宋体" w:cs="宋体"/>
          <w:b/>
          <w:kern w:val="40"/>
          <w:sz w:val="24"/>
          <w:szCs w:val="24"/>
          <w:highlight w:val="none"/>
          <w:lang w:val="en-US" w:eastAsia="zh-CN"/>
        </w:rPr>
        <w:t>详见中国山东政府采购网合同模板</w:t>
      </w:r>
      <w:r>
        <w:rPr>
          <w:rFonts w:hint="eastAsia" w:ascii="宋体" w:hAnsi="宋体" w:eastAsia="宋体" w:cs="宋体"/>
          <w:b/>
          <w:kern w:val="40"/>
          <w:sz w:val="24"/>
          <w:szCs w:val="24"/>
          <w:highlight w:val="none"/>
          <w:lang w:eastAsia="zh-CN"/>
        </w:rPr>
        <w:t>）</w:t>
      </w:r>
    </w:p>
    <w:p>
      <w:pPr>
        <w:pStyle w:val="29"/>
        <w:ind w:firstLine="424"/>
        <w:rPr>
          <w:rFonts w:hint="eastAsia" w:ascii="宋体" w:hAnsi="宋体" w:eastAsia="宋体" w:cs="宋体"/>
        </w:rPr>
      </w:pPr>
    </w:p>
    <w:p>
      <w:pPr>
        <w:pStyle w:val="29"/>
        <w:ind w:firstLine="424"/>
        <w:rPr>
          <w:rFonts w:hint="eastAsia" w:ascii="宋体" w:hAnsi="宋体" w:eastAsia="宋体" w:cs="宋体"/>
        </w:rPr>
      </w:pPr>
    </w:p>
    <w:p>
      <w:pPr>
        <w:pStyle w:val="29"/>
        <w:ind w:firstLine="424"/>
        <w:rPr>
          <w:rFonts w:hint="eastAsia" w:ascii="宋体" w:hAnsi="宋体" w:eastAsia="宋体" w:cs="宋体"/>
        </w:rPr>
      </w:pPr>
    </w:p>
    <w:p>
      <w:pPr>
        <w:pStyle w:val="29"/>
        <w:ind w:firstLine="424"/>
        <w:rPr>
          <w:rFonts w:hint="eastAsia" w:ascii="宋体" w:hAnsi="宋体" w:eastAsia="宋体" w:cs="宋体"/>
        </w:rPr>
      </w:pPr>
    </w:p>
    <w:p>
      <w:pPr>
        <w:pStyle w:val="29"/>
        <w:ind w:firstLine="424"/>
        <w:rPr>
          <w:rFonts w:hint="eastAsia" w:ascii="宋体" w:hAnsi="宋体" w:eastAsia="宋体" w:cs="宋体"/>
        </w:rPr>
      </w:pPr>
    </w:p>
    <w:p>
      <w:pPr>
        <w:pStyle w:val="29"/>
        <w:ind w:firstLine="424"/>
        <w:rPr>
          <w:rFonts w:hint="eastAsia" w:ascii="宋体" w:hAnsi="宋体" w:eastAsia="宋体" w:cs="宋体"/>
        </w:rPr>
      </w:pPr>
    </w:p>
    <w:p>
      <w:pPr>
        <w:pStyle w:val="29"/>
        <w:ind w:firstLine="424"/>
        <w:rPr>
          <w:rFonts w:hint="eastAsia" w:ascii="宋体" w:hAnsi="宋体" w:eastAsia="宋体" w:cs="宋体"/>
        </w:rPr>
      </w:pPr>
    </w:p>
    <w:p>
      <w:pPr>
        <w:pStyle w:val="29"/>
        <w:ind w:firstLine="424"/>
        <w:rPr>
          <w:rFonts w:hint="eastAsia" w:ascii="宋体" w:hAnsi="宋体" w:eastAsia="宋体" w:cs="宋体"/>
        </w:rPr>
      </w:pPr>
    </w:p>
    <w:p>
      <w:pPr>
        <w:pStyle w:val="29"/>
        <w:ind w:firstLine="424"/>
        <w:rPr>
          <w:rFonts w:hint="eastAsia" w:ascii="宋体" w:hAnsi="宋体" w:eastAsia="宋体" w:cs="宋体"/>
        </w:rPr>
      </w:pPr>
    </w:p>
    <w:p>
      <w:pPr>
        <w:pStyle w:val="29"/>
        <w:ind w:firstLine="424"/>
        <w:rPr>
          <w:rFonts w:hint="eastAsia" w:ascii="宋体" w:hAnsi="宋体" w:eastAsia="宋体" w:cs="宋体"/>
        </w:rPr>
      </w:pPr>
      <w:r>
        <w:rPr>
          <w:rFonts w:hint="eastAsia" w:ascii="宋体" w:hAnsi="宋体" w:eastAsia="宋体" w:cs="宋体"/>
        </w:rPr>
        <w:br w:type="page"/>
      </w:r>
    </w:p>
    <w:p>
      <w:pPr>
        <w:pStyle w:val="3"/>
        <w:spacing w:line="500" w:lineRule="exact"/>
        <w:rPr>
          <w:rFonts w:hint="default" w:ascii="宋体" w:hAnsi="宋体" w:eastAsia="宋体" w:cs="宋体"/>
          <w:sz w:val="36"/>
          <w:szCs w:val="36"/>
          <w:lang w:val="en-US" w:eastAsia="zh-CN"/>
        </w:rPr>
      </w:pPr>
      <w:bookmarkStart w:id="124" w:name="_Toc28024"/>
      <w:bookmarkStart w:id="125" w:name="_Toc15925"/>
      <w:bookmarkStart w:id="126" w:name="_Toc30821_WPSOffice_Level1"/>
      <w:r>
        <w:rPr>
          <w:rFonts w:hint="eastAsia" w:ascii="宋体" w:hAnsi="宋体" w:eastAsia="宋体" w:cs="宋体"/>
          <w:sz w:val="36"/>
          <w:szCs w:val="36"/>
        </w:rPr>
        <w:t>第五章</w:t>
      </w:r>
      <w:bookmarkEnd w:id="119"/>
      <w:bookmarkEnd w:id="120"/>
      <w:bookmarkEnd w:id="124"/>
      <w:bookmarkEnd w:id="125"/>
      <w:bookmarkEnd w:id="126"/>
      <w:bookmarkStart w:id="127" w:name="_Toc10324"/>
      <w:bookmarkStart w:id="128" w:name="_Toc414538499"/>
      <w:r>
        <w:rPr>
          <w:rFonts w:hint="eastAsia" w:ascii="宋体" w:hAnsi="宋体" w:eastAsia="宋体" w:cs="宋体"/>
          <w:sz w:val="36"/>
          <w:szCs w:val="36"/>
        </w:rPr>
        <w:t xml:space="preserve">  项目技术服务内容及</w:t>
      </w:r>
      <w:r>
        <w:rPr>
          <w:rFonts w:hint="eastAsia" w:cs="宋体"/>
          <w:sz w:val="36"/>
          <w:szCs w:val="36"/>
          <w:lang w:val="en-US" w:eastAsia="zh-CN"/>
        </w:rPr>
        <w:t>技术参数</w:t>
      </w:r>
    </w:p>
    <w:p>
      <w:pPr>
        <w:pStyle w:val="3"/>
        <w:jc w:val="both"/>
      </w:pPr>
      <w:bookmarkStart w:id="129" w:name="_Toc19943"/>
      <w:bookmarkStart w:id="130" w:name="_Toc11286_WPSOffice_Level1"/>
      <w:bookmarkStart w:id="131" w:name="_Toc6660"/>
      <w:bookmarkStart w:id="132" w:name="_Toc28621_WPSOffice_Level1"/>
      <w:bookmarkStart w:id="133" w:name="_Toc25224"/>
      <w:r>
        <w:rPr>
          <w:rFonts w:hint="eastAsia"/>
        </w:rPr>
        <w:t>一、项目说明</w:t>
      </w:r>
      <w:bookmarkEnd w:id="129"/>
    </w:p>
    <w:p>
      <w:pPr>
        <w:spacing w:line="240" w:lineRule="auto"/>
        <w:ind w:firstLine="642" w:firstLineChars="200"/>
        <w:rPr>
          <w:rFonts w:ascii="仿宋_GB2312" w:hAnsi="仿宋" w:eastAsia="仿宋_GB2312" w:cs="仿宋"/>
          <w:sz w:val="32"/>
          <w:szCs w:val="32"/>
        </w:rPr>
      </w:pPr>
      <w:r>
        <w:rPr>
          <w:rFonts w:hint="eastAsia" w:ascii="仿宋_GB2312" w:hAnsi="仿宋" w:eastAsia="仿宋_GB2312" w:cs="仿宋"/>
          <w:sz w:val="32"/>
          <w:szCs w:val="32"/>
        </w:rPr>
        <w:t>通过搭建“软件正版化服务与管理平台”（以下简称“平台”）对全校师生提供正版软件服务，并以此为基础共同宣传推进软件正版化工作。</w:t>
      </w:r>
    </w:p>
    <w:p>
      <w:pPr>
        <w:spacing w:line="240" w:lineRule="auto"/>
        <w:ind w:firstLine="642" w:firstLineChars="200"/>
        <w:rPr>
          <w:rFonts w:ascii="仿宋_GB2312" w:hAnsi="仿宋" w:eastAsia="仿宋_GB2312" w:cs="仿宋"/>
          <w:sz w:val="32"/>
          <w:szCs w:val="32"/>
        </w:rPr>
      </w:pPr>
      <w:r>
        <w:rPr>
          <w:rFonts w:ascii="仿宋_GB2312" w:hAnsi="仿宋" w:eastAsia="仿宋_GB2312" w:cs="仿宋"/>
          <w:sz w:val="32"/>
          <w:szCs w:val="32"/>
        </w:rPr>
        <w:t>1、通过对服务平台的功能收集和研讨，共同搭建服务平台；</w:t>
      </w:r>
    </w:p>
    <w:p>
      <w:pPr>
        <w:spacing w:line="240" w:lineRule="auto"/>
        <w:ind w:firstLine="642" w:firstLineChars="200"/>
        <w:rPr>
          <w:rFonts w:ascii="仿宋_GB2312" w:hAnsi="仿宋" w:eastAsia="仿宋_GB2312" w:cs="仿宋"/>
          <w:sz w:val="32"/>
          <w:szCs w:val="32"/>
        </w:rPr>
      </w:pPr>
      <w:r>
        <w:rPr>
          <w:rFonts w:ascii="仿宋_GB2312" w:hAnsi="仿宋" w:eastAsia="仿宋_GB2312" w:cs="仿宋"/>
          <w:sz w:val="32"/>
          <w:szCs w:val="32"/>
        </w:rPr>
        <w:t>2、通过服务平台向全校用户提供包括正版软件使用在内的各项服务；</w:t>
      </w:r>
    </w:p>
    <w:p>
      <w:pPr>
        <w:spacing w:line="240" w:lineRule="auto"/>
        <w:ind w:firstLine="642" w:firstLineChars="200"/>
        <w:rPr>
          <w:rFonts w:ascii="仿宋_GB2312" w:hAnsi="仿宋" w:eastAsia="仿宋_GB2312" w:cs="仿宋"/>
          <w:sz w:val="32"/>
          <w:szCs w:val="32"/>
        </w:rPr>
      </w:pPr>
      <w:r>
        <w:rPr>
          <w:rFonts w:ascii="仿宋_GB2312" w:hAnsi="仿宋" w:eastAsia="仿宋_GB2312" w:cs="仿宋"/>
          <w:sz w:val="32"/>
          <w:szCs w:val="32"/>
        </w:rPr>
        <w:t>3、通过对正版化的宣传，在学校师生中普及软件知识产权保护意识，树立正版软件使用观念；</w:t>
      </w:r>
    </w:p>
    <w:p>
      <w:pPr>
        <w:spacing w:line="240" w:lineRule="auto"/>
        <w:ind w:firstLine="642" w:firstLineChars="200"/>
        <w:rPr>
          <w:rFonts w:ascii="仿宋_GB2312" w:hAnsi="仿宋" w:eastAsia="仿宋_GB2312" w:cs="仿宋"/>
          <w:sz w:val="32"/>
          <w:szCs w:val="32"/>
        </w:rPr>
      </w:pPr>
      <w:r>
        <w:rPr>
          <w:rFonts w:ascii="仿宋_GB2312" w:hAnsi="仿宋" w:eastAsia="仿宋_GB2312" w:cs="仿宋"/>
          <w:sz w:val="32"/>
          <w:szCs w:val="32"/>
        </w:rPr>
        <w:t>4、针对学校教职工使用的电脑以及学校固定资产类设备，购买正版软件使用授权，完成软件正版化；</w:t>
      </w:r>
    </w:p>
    <w:p>
      <w:pPr>
        <w:spacing w:line="240" w:lineRule="auto"/>
        <w:ind w:firstLine="642" w:firstLineChars="200"/>
        <w:rPr>
          <w:rFonts w:ascii="仿宋_GB2312" w:hAnsi="仿宋" w:eastAsia="仿宋_GB2312" w:cs="仿宋"/>
          <w:sz w:val="32"/>
          <w:szCs w:val="32"/>
        </w:rPr>
      </w:pPr>
      <w:r>
        <w:rPr>
          <w:rFonts w:hint="eastAsia" w:ascii="仿宋_GB2312" w:hAnsi="仿宋" w:eastAsia="仿宋_GB2312" w:cs="仿宋"/>
          <w:sz w:val="32"/>
          <w:szCs w:val="32"/>
        </w:rPr>
        <w:t>正版化工作实施内容包括：操作系统（包括授权教职工和学校固定资产终端）；办公软件；软件管理及服务平台（含服务）。</w:t>
      </w:r>
    </w:p>
    <w:p>
      <w:pPr>
        <w:pStyle w:val="3"/>
        <w:jc w:val="both"/>
      </w:pPr>
      <w:r>
        <w:rPr>
          <w:rFonts w:hint="eastAsia"/>
        </w:rPr>
        <w:t>二、校园正版化服务项目说明</w:t>
      </w:r>
    </w:p>
    <w:tbl>
      <w:tblPr>
        <w:tblStyle w:val="22"/>
        <w:tblpPr w:leftFromText="180" w:rightFromText="180" w:vertAnchor="text" w:tblpXSpec="center" w:tblpY="231"/>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61"/>
        <w:gridCol w:w="2085"/>
        <w:gridCol w:w="5896"/>
        <w:gridCol w:w="70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trPr>
        <w:tc>
          <w:tcPr>
            <w:tcW w:w="661"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仿宋_GB2312" w:hAnsi="仿宋" w:eastAsia="仿宋_GB2312" w:cs="仿宋"/>
                <w:sz w:val="24"/>
                <w:szCs w:val="24"/>
              </w:rPr>
            </w:pPr>
            <w:r>
              <w:rPr>
                <w:rFonts w:hint="eastAsia" w:ascii="仿宋_GB2312" w:hAnsi="仿宋" w:eastAsia="仿宋_GB2312" w:cs="仿宋"/>
                <w:sz w:val="24"/>
                <w:szCs w:val="24"/>
              </w:rPr>
              <w:t>序号</w:t>
            </w:r>
          </w:p>
        </w:tc>
        <w:tc>
          <w:tcPr>
            <w:tcW w:w="2085"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仿宋_GB2312" w:hAnsi="仿宋" w:eastAsia="仿宋_GB2312" w:cs="仿宋"/>
                <w:sz w:val="24"/>
                <w:szCs w:val="24"/>
              </w:rPr>
            </w:pPr>
            <w:r>
              <w:rPr>
                <w:rFonts w:hint="eastAsia" w:ascii="仿宋_GB2312" w:hAnsi="仿宋" w:eastAsia="仿宋_GB2312" w:cs="仿宋"/>
                <w:sz w:val="24"/>
                <w:szCs w:val="24"/>
              </w:rPr>
              <w:t>名称</w:t>
            </w:r>
          </w:p>
        </w:tc>
        <w:tc>
          <w:tcPr>
            <w:tcW w:w="5896"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仿宋_GB2312" w:hAnsi="仿宋" w:eastAsia="仿宋_GB2312" w:cs="仿宋"/>
                <w:sz w:val="24"/>
                <w:szCs w:val="24"/>
              </w:rPr>
            </w:pPr>
            <w:r>
              <w:rPr>
                <w:rFonts w:hint="eastAsia" w:ascii="仿宋_GB2312" w:hAnsi="仿宋" w:eastAsia="仿宋_GB2312" w:cs="仿宋"/>
                <w:sz w:val="24"/>
                <w:szCs w:val="24"/>
              </w:rPr>
              <w:t>主要技术参数</w:t>
            </w:r>
          </w:p>
        </w:tc>
        <w:tc>
          <w:tcPr>
            <w:tcW w:w="709"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仿宋_GB2312" w:hAnsi="仿宋" w:eastAsia="仿宋_GB2312" w:cs="仿宋"/>
                <w:sz w:val="24"/>
                <w:szCs w:val="24"/>
              </w:rPr>
            </w:pPr>
            <w:r>
              <w:rPr>
                <w:rFonts w:hint="eastAsia" w:ascii="仿宋_GB2312" w:hAnsi="仿宋" w:eastAsia="仿宋_GB2312" w:cs="仿宋"/>
                <w:sz w:val="24"/>
                <w:szCs w:val="24"/>
              </w:rPr>
              <w:t>数量</w:t>
            </w:r>
          </w:p>
        </w:tc>
        <w:tc>
          <w:tcPr>
            <w:tcW w:w="850"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仿宋_GB2312" w:hAnsi="仿宋" w:eastAsia="仿宋_GB2312" w:cs="仿宋"/>
                <w:sz w:val="24"/>
                <w:szCs w:val="24"/>
              </w:rPr>
            </w:pPr>
            <w:r>
              <w:rPr>
                <w:rFonts w:hint="eastAsia" w:ascii="仿宋_GB2312" w:hAnsi="仿宋" w:eastAsia="仿宋_GB2312" w:cs="仿宋"/>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661"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仿宋_GB2312" w:hAnsi="仿宋" w:eastAsia="仿宋_GB2312" w:cs="仿宋"/>
                <w:sz w:val="24"/>
                <w:szCs w:val="24"/>
              </w:rPr>
            </w:pPr>
            <w:r>
              <w:rPr>
                <w:rFonts w:hint="eastAsia" w:ascii="仿宋_GB2312" w:hAnsi="仿宋" w:eastAsia="仿宋_GB2312" w:cs="仿宋"/>
                <w:sz w:val="24"/>
                <w:szCs w:val="24"/>
              </w:rPr>
              <w:t>1</w:t>
            </w:r>
          </w:p>
        </w:tc>
        <w:tc>
          <w:tcPr>
            <w:tcW w:w="2085"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仿宋_GB2312" w:hAnsi="仿宋" w:eastAsia="仿宋_GB2312" w:cs="仿宋"/>
                <w:sz w:val="24"/>
                <w:szCs w:val="24"/>
              </w:rPr>
            </w:pPr>
            <w:r>
              <w:rPr>
                <w:rFonts w:hint="eastAsia" w:ascii="仿宋_GB2312" w:hAnsi="仿宋" w:eastAsia="仿宋_GB2312" w:cs="仿宋"/>
                <w:sz w:val="24"/>
                <w:szCs w:val="24"/>
              </w:rPr>
              <w:t>桌面端操作系统许可授权服务</w:t>
            </w:r>
          </w:p>
        </w:tc>
        <w:tc>
          <w:tcPr>
            <w:tcW w:w="5896" w:type="dxa"/>
            <w:vAlign w:val="center"/>
          </w:tcPr>
          <w:p>
            <w:pPr>
              <w:keepNext w:val="0"/>
              <w:keepLines w:val="0"/>
              <w:pageBreakBefore w:val="0"/>
              <w:widowControl/>
              <w:kinsoku/>
              <w:wordWrap/>
              <w:overflowPunct/>
              <w:topLinePunct w:val="0"/>
              <w:autoSpaceDE/>
              <w:autoSpaceDN/>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包括操作系统Windows</w:t>
            </w:r>
            <w:r>
              <w:rPr>
                <w:rFonts w:ascii="仿宋_GB2312" w:hAnsi="仿宋" w:eastAsia="仿宋_GB2312" w:cs="仿宋"/>
                <w:sz w:val="24"/>
                <w:szCs w:val="24"/>
              </w:rPr>
              <w:t xml:space="preserve"> </w:t>
            </w:r>
            <w:r>
              <w:rPr>
                <w:rFonts w:hint="eastAsia" w:ascii="仿宋_GB2312" w:hAnsi="仿宋" w:eastAsia="仿宋_GB2312" w:cs="仿宋"/>
                <w:sz w:val="24"/>
                <w:szCs w:val="24"/>
              </w:rPr>
              <w:t>1</w:t>
            </w:r>
            <w:r>
              <w:rPr>
                <w:rFonts w:ascii="仿宋_GB2312" w:hAnsi="仿宋" w:eastAsia="仿宋_GB2312" w:cs="仿宋"/>
                <w:sz w:val="24"/>
                <w:szCs w:val="24"/>
              </w:rPr>
              <w:t>1</w:t>
            </w:r>
            <w:r>
              <w:rPr>
                <w:rFonts w:hint="eastAsia" w:ascii="仿宋_GB2312" w:hAnsi="仿宋" w:eastAsia="仿宋_GB2312" w:cs="仿宋"/>
                <w:sz w:val="24"/>
                <w:szCs w:val="24"/>
              </w:rPr>
              <w:t>及Windows</w:t>
            </w:r>
            <w:r>
              <w:rPr>
                <w:rFonts w:ascii="仿宋_GB2312" w:hAnsi="仿宋" w:eastAsia="仿宋_GB2312" w:cs="仿宋"/>
                <w:sz w:val="24"/>
                <w:szCs w:val="24"/>
              </w:rPr>
              <w:t>10</w:t>
            </w:r>
            <w:r>
              <w:rPr>
                <w:rFonts w:hint="eastAsia" w:ascii="仿宋_GB2312" w:hAnsi="仿宋" w:eastAsia="仿宋_GB2312" w:cs="仿宋"/>
                <w:sz w:val="24"/>
                <w:szCs w:val="24"/>
              </w:rPr>
              <w:t>、 8.1、8、专业版系统和</w:t>
            </w:r>
            <w:r>
              <w:rPr>
                <w:rFonts w:ascii="仿宋_GB2312" w:hAnsi="仿宋" w:eastAsia="仿宋_GB2312" w:cs="仿宋"/>
                <w:sz w:val="24"/>
                <w:szCs w:val="24"/>
              </w:rPr>
              <w:t>1年</w:t>
            </w:r>
            <w:r>
              <w:rPr>
                <w:rFonts w:hint="eastAsia" w:ascii="仿宋_GB2312" w:hAnsi="仿宋" w:eastAsia="仿宋_GB2312" w:cs="仿宋"/>
                <w:sz w:val="24"/>
                <w:szCs w:val="24"/>
              </w:rPr>
              <w:t>内的升级版本使用。</w:t>
            </w:r>
          </w:p>
        </w:tc>
        <w:tc>
          <w:tcPr>
            <w:tcW w:w="709"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仿宋_GB2312" w:hAnsi="仿宋" w:eastAsia="仿宋_GB2312" w:cs="仿宋"/>
                <w:sz w:val="24"/>
                <w:szCs w:val="24"/>
              </w:rPr>
            </w:pPr>
            <w:r>
              <w:rPr>
                <w:rFonts w:ascii="仿宋_GB2312" w:hAnsi="仿宋" w:eastAsia="仿宋_GB2312" w:cs="仿宋"/>
                <w:sz w:val="24"/>
                <w:szCs w:val="24"/>
              </w:rPr>
              <w:t>1</w:t>
            </w:r>
          </w:p>
        </w:tc>
        <w:tc>
          <w:tcPr>
            <w:tcW w:w="850"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仿宋_GB2312" w:hAnsi="仿宋" w:eastAsia="仿宋_GB2312" w:cs="仿宋"/>
                <w:sz w:val="24"/>
                <w:szCs w:val="24"/>
              </w:rPr>
            </w:pPr>
            <w:r>
              <w:rPr>
                <w:rFonts w:hint="eastAsia" w:ascii="仿宋_GB2312" w:hAnsi="仿宋" w:eastAsia="仿宋_GB2312" w:cs="仿宋"/>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661"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仿宋_GB2312" w:hAnsi="仿宋" w:eastAsia="仿宋_GB2312" w:cs="仿宋"/>
                <w:sz w:val="24"/>
                <w:szCs w:val="24"/>
              </w:rPr>
            </w:pPr>
            <w:r>
              <w:rPr>
                <w:rFonts w:hint="eastAsia" w:ascii="仿宋_GB2312" w:hAnsi="仿宋" w:eastAsia="仿宋_GB2312" w:cs="仿宋"/>
                <w:sz w:val="24"/>
                <w:szCs w:val="24"/>
              </w:rPr>
              <w:t>2</w:t>
            </w:r>
          </w:p>
        </w:tc>
        <w:tc>
          <w:tcPr>
            <w:tcW w:w="2085"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仿宋_GB2312" w:hAnsi="仿宋" w:eastAsia="仿宋_GB2312" w:cs="仿宋"/>
                <w:sz w:val="24"/>
                <w:szCs w:val="24"/>
              </w:rPr>
            </w:pPr>
            <w:r>
              <w:rPr>
                <w:rFonts w:hint="eastAsia" w:ascii="仿宋_GB2312" w:hAnsi="仿宋" w:eastAsia="仿宋_GB2312" w:cs="仿宋"/>
                <w:sz w:val="24"/>
                <w:szCs w:val="24"/>
              </w:rPr>
              <w:t>办公软件许可授权服务</w:t>
            </w:r>
          </w:p>
        </w:tc>
        <w:tc>
          <w:tcPr>
            <w:tcW w:w="5896" w:type="dxa"/>
            <w:vAlign w:val="center"/>
          </w:tcPr>
          <w:p>
            <w:pPr>
              <w:keepNext w:val="0"/>
              <w:keepLines w:val="0"/>
              <w:pageBreakBefore w:val="0"/>
              <w:widowControl/>
              <w:kinsoku/>
              <w:wordWrap/>
              <w:overflowPunct/>
              <w:topLinePunct w:val="0"/>
              <w:autoSpaceDE/>
              <w:autoSpaceDN/>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包括办公软件：office 2</w:t>
            </w:r>
            <w:r>
              <w:rPr>
                <w:rFonts w:ascii="仿宋_GB2312" w:hAnsi="仿宋" w:eastAsia="仿宋_GB2312" w:cs="仿宋"/>
                <w:sz w:val="24"/>
                <w:szCs w:val="24"/>
              </w:rPr>
              <w:t>021/2019/</w:t>
            </w:r>
            <w:r>
              <w:rPr>
                <w:rFonts w:hint="eastAsia" w:ascii="仿宋_GB2312" w:hAnsi="仿宋" w:eastAsia="仿宋_GB2312" w:cs="仿宋"/>
                <w:sz w:val="24"/>
                <w:szCs w:val="24"/>
              </w:rPr>
              <w:t>2016/2013专业增强版办公软件</w:t>
            </w:r>
            <w:r>
              <w:rPr>
                <w:rFonts w:ascii="仿宋_GB2312" w:hAnsi="仿宋" w:eastAsia="仿宋_GB2312" w:cs="仿宋"/>
                <w:sz w:val="24"/>
                <w:szCs w:val="24"/>
              </w:rPr>
              <w:t xml:space="preserve"> </w:t>
            </w:r>
            <w:r>
              <w:rPr>
                <w:rFonts w:hint="eastAsia" w:ascii="仿宋_GB2312" w:hAnsi="仿宋" w:eastAsia="仿宋_GB2312" w:cs="仿宋"/>
                <w:sz w:val="24"/>
                <w:szCs w:val="24"/>
              </w:rPr>
              <w:t xml:space="preserve">及office for mac </w:t>
            </w:r>
            <w:r>
              <w:rPr>
                <w:rFonts w:ascii="仿宋_GB2312" w:hAnsi="仿宋" w:eastAsia="仿宋_GB2312" w:cs="仿宋"/>
                <w:sz w:val="24"/>
                <w:szCs w:val="24"/>
              </w:rPr>
              <w:t>2019/</w:t>
            </w:r>
            <w:r>
              <w:rPr>
                <w:rFonts w:hint="eastAsia" w:ascii="仿宋_GB2312" w:hAnsi="仿宋" w:eastAsia="仿宋_GB2312" w:cs="仿宋"/>
                <w:sz w:val="24"/>
                <w:szCs w:val="24"/>
              </w:rPr>
              <w:t>2016标准版办公软件和</w:t>
            </w:r>
            <w:r>
              <w:rPr>
                <w:rFonts w:ascii="仿宋_GB2312" w:hAnsi="仿宋" w:eastAsia="仿宋_GB2312" w:cs="仿宋"/>
                <w:sz w:val="24"/>
                <w:szCs w:val="24"/>
              </w:rPr>
              <w:t>1年</w:t>
            </w:r>
            <w:r>
              <w:rPr>
                <w:rFonts w:hint="eastAsia" w:ascii="仿宋_GB2312" w:hAnsi="仿宋" w:eastAsia="仿宋_GB2312" w:cs="仿宋"/>
                <w:sz w:val="24"/>
                <w:szCs w:val="24"/>
              </w:rPr>
              <w:t>内的升级版本使用。</w:t>
            </w:r>
          </w:p>
        </w:tc>
        <w:tc>
          <w:tcPr>
            <w:tcW w:w="709"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仿宋_GB2312" w:hAnsi="仿宋" w:eastAsia="仿宋_GB2312" w:cs="仿宋"/>
                <w:sz w:val="24"/>
                <w:szCs w:val="24"/>
              </w:rPr>
            </w:pPr>
            <w:r>
              <w:rPr>
                <w:rFonts w:ascii="仿宋_GB2312" w:hAnsi="仿宋" w:eastAsia="仿宋_GB2312" w:cs="仿宋"/>
                <w:sz w:val="24"/>
                <w:szCs w:val="24"/>
              </w:rPr>
              <w:t>1</w:t>
            </w:r>
          </w:p>
        </w:tc>
        <w:tc>
          <w:tcPr>
            <w:tcW w:w="850"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仿宋_GB2312" w:hAnsi="仿宋" w:eastAsia="仿宋_GB2312" w:cs="仿宋"/>
                <w:sz w:val="24"/>
                <w:szCs w:val="24"/>
              </w:rPr>
            </w:pPr>
            <w:r>
              <w:rPr>
                <w:rFonts w:hint="eastAsia" w:ascii="仿宋_GB2312" w:hAnsi="仿宋" w:eastAsia="仿宋_GB2312" w:cs="仿宋"/>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661"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仿宋_GB2312" w:hAnsi="仿宋" w:eastAsia="仿宋_GB2312" w:cs="仿宋"/>
                <w:sz w:val="24"/>
                <w:szCs w:val="24"/>
              </w:rPr>
            </w:pPr>
            <w:r>
              <w:rPr>
                <w:rFonts w:hint="eastAsia" w:ascii="仿宋_GB2312" w:hAnsi="仿宋" w:eastAsia="仿宋_GB2312" w:cs="仿宋"/>
                <w:sz w:val="24"/>
                <w:szCs w:val="24"/>
              </w:rPr>
              <w:t>3</w:t>
            </w:r>
          </w:p>
        </w:tc>
        <w:tc>
          <w:tcPr>
            <w:tcW w:w="2085"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仿宋_GB2312" w:hAnsi="仿宋" w:eastAsia="仿宋_GB2312" w:cs="仿宋"/>
                <w:sz w:val="24"/>
                <w:szCs w:val="24"/>
              </w:rPr>
            </w:pPr>
            <w:r>
              <w:rPr>
                <w:rFonts w:hint="eastAsia" w:ascii="仿宋_GB2312" w:hAnsi="仿宋" w:eastAsia="仿宋_GB2312" w:cs="仿宋"/>
                <w:sz w:val="24"/>
                <w:szCs w:val="24"/>
              </w:rPr>
              <w:t>软件正版化管理平台和售后服务</w:t>
            </w:r>
          </w:p>
        </w:tc>
        <w:tc>
          <w:tcPr>
            <w:tcW w:w="5896" w:type="dxa"/>
            <w:vAlign w:val="center"/>
          </w:tcPr>
          <w:p>
            <w:pPr>
              <w:keepNext w:val="0"/>
              <w:keepLines w:val="0"/>
              <w:pageBreakBefore w:val="0"/>
              <w:widowControl/>
              <w:kinsoku/>
              <w:wordWrap/>
              <w:overflowPunct/>
              <w:topLinePunct w:val="0"/>
              <w:autoSpaceDE/>
              <w:autoSpaceDN/>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1.系统包括客户端、补丁升级服务端、应用激活服务端和管理后台共四大主要板块，为用户提供系统和应用软件激活等功能，用户可以使用统一账号登录客户端选择激活方式和应用进行申请，然后在管理员分配的激活次数下对自己的系统或者应用软件进行激活，客户端还为用户提供免费的系统更新推送和病毒库更新推送。</w:t>
            </w:r>
          </w:p>
          <w:p>
            <w:pPr>
              <w:keepNext w:val="0"/>
              <w:keepLines w:val="0"/>
              <w:pageBreakBefore w:val="0"/>
              <w:widowControl/>
              <w:kinsoku/>
              <w:wordWrap/>
              <w:overflowPunct/>
              <w:topLinePunct w:val="0"/>
              <w:autoSpaceDE/>
              <w:autoSpaceDN/>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2.提供本地客户服务支持，24小时响应，提供定期巡检、平台升级、数据导入、更新服务、技术支持等服务。</w:t>
            </w:r>
          </w:p>
          <w:p>
            <w:pPr>
              <w:keepNext w:val="0"/>
              <w:keepLines w:val="0"/>
              <w:pageBreakBefore w:val="0"/>
              <w:widowControl/>
              <w:kinsoku/>
              <w:wordWrap/>
              <w:overflowPunct/>
              <w:topLinePunct w:val="0"/>
              <w:autoSpaceDE/>
              <w:autoSpaceDN/>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3.培训3名以上网络管理人员，对系统进行操作培训。</w:t>
            </w:r>
          </w:p>
          <w:p>
            <w:pPr>
              <w:keepNext w:val="0"/>
              <w:keepLines w:val="0"/>
              <w:pageBreakBefore w:val="0"/>
              <w:widowControl/>
              <w:kinsoku/>
              <w:wordWrap/>
              <w:overflowPunct/>
              <w:topLinePunct w:val="0"/>
              <w:autoSpaceDE/>
              <w:autoSpaceDN/>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4.提供在线技术支持服务及服务电话、服务邮箱和5</w:t>
            </w:r>
            <w:r>
              <w:rPr>
                <w:rFonts w:ascii="仿宋_GB2312" w:hAnsi="仿宋" w:eastAsia="仿宋_GB2312" w:cs="仿宋"/>
                <w:sz w:val="24"/>
                <w:szCs w:val="24"/>
              </w:rPr>
              <w:t>×</w:t>
            </w:r>
            <w:r>
              <w:rPr>
                <w:rFonts w:hint="eastAsia" w:ascii="仿宋_GB2312" w:hAnsi="仿宋" w:eastAsia="仿宋_GB2312" w:cs="仿宋"/>
                <w:sz w:val="24"/>
                <w:szCs w:val="24"/>
              </w:rPr>
              <w:t>8小时/周的服务热线。</w:t>
            </w:r>
          </w:p>
          <w:p>
            <w:pPr>
              <w:keepNext w:val="0"/>
              <w:keepLines w:val="0"/>
              <w:pageBreakBefore w:val="0"/>
              <w:widowControl/>
              <w:kinsoku/>
              <w:wordWrap/>
              <w:overflowPunct/>
              <w:topLinePunct w:val="0"/>
              <w:autoSpaceDE/>
              <w:autoSpaceDN/>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5.软件在升级范围时间内出现新版本应免费升级。</w:t>
            </w:r>
          </w:p>
        </w:tc>
        <w:tc>
          <w:tcPr>
            <w:tcW w:w="709"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仿宋_GB2312" w:hAnsi="仿宋" w:eastAsia="仿宋_GB2312" w:cs="仿宋"/>
                <w:sz w:val="24"/>
                <w:szCs w:val="24"/>
              </w:rPr>
            </w:pPr>
            <w:r>
              <w:rPr>
                <w:rFonts w:ascii="仿宋_GB2312" w:hAnsi="仿宋" w:eastAsia="仿宋_GB2312" w:cs="仿宋"/>
                <w:sz w:val="24"/>
                <w:szCs w:val="24"/>
              </w:rPr>
              <w:t>1</w:t>
            </w:r>
          </w:p>
        </w:tc>
        <w:tc>
          <w:tcPr>
            <w:tcW w:w="850"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仿宋_GB2312" w:hAnsi="仿宋" w:eastAsia="仿宋_GB2312" w:cs="仿宋"/>
                <w:sz w:val="24"/>
                <w:szCs w:val="24"/>
              </w:rPr>
            </w:pPr>
            <w:r>
              <w:rPr>
                <w:rFonts w:hint="eastAsia" w:ascii="仿宋_GB2312" w:hAnsi="仿宋" w:eastAsia="仿宋_GB2312" w:cs="仿宋"/>
                <w:sz w:val="24"/>
                <w:szCs w:val="24"/>
              </w:rPr>
              <w:t>年</w:t>
            </w:r>
          </w:p>
        </w:tc>
      </w:tr>
    </w:tbl>
    <w:p>
      <w:pPr>
        <w:pStyle w:val="3"/>
        <w:bidi w:val="0"/>
        <w:jc w:val="left"/>
        <w:rPr>
          <w:rFonts w:hint="eastAsia"/>
          <w:lang w:val="en-US" w:eastAsia="zh-CN"/>
        </w:rPr>
      </w:pPr>
      <w:bookmarkStart w:id="134" w:name="_Toc9766"/>
      <w:r>
        <w:rPr>
          <w:rFonts w:hint="eastAsia"/>
          <w:lang w:val="en-US" w:eastAsia="zh-CN"/>
        </w:rPr>
        <w:t>三、合作期限</w:t>
      </w:r>
      <w:bookmarkEnd w:id="134"/>
    </w:p>
    <w:p>
      <w:pPr>
        <w:spacing w:line="240" w:lineRule="auto"/>
        <w:ind w:firstLine="642"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1、供货方提供一年软件正版化授权及售后服务；</w:t>
      </w:r>
    </w:p>
    <w:p>
      <w:pPr>
        <w:spacing w:line="240" w:lineRule="auto"/>
        <w:ind w:firstLine="642" w:firstLineChars="200"/>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lang w:val="en-US"/>
        </w:rPr>
        <w:t>合同期满后，甲方评测乙方服务期内的服务内容和质量是否达到甲方要求，如认可服务，</w:t>
      </w:r>
      <w:r>
        <w:rPr>
          <w:rFonts w:hint="eastAsia" w:ascii="仿宋_GB2312" w:hAnsi="仿宋" w:eastAsia="仿宋_GB2312" w:cs="仿宋"/>
          <w:sz w:val="32"/>
          <w:szCs w:val="32"/>
          <w:lang w:val="en-US" w:eastAsia="zh-CN"/>
        </w:rPr>
        <w:t>可</w:t>
      </w:r>
      <w:r>
        <w:rPr>
          <w:rFonts w:hint="eastAsia" w:ascii="仿宋_GB2312" w:hAnsi="仿宋" w:eastAsia="仿宋_GB2312" w:cs="仿宋"/>
          <w:sz w:val="32"/>
          <w:szCs w:val="32"/>
          <w:lang w:val="en-US"/>
        </w:rPr>
        <w:t>续签</w:t>
      </w:r>
      <w:r>
        <w:rPr>
          <w:rFonts w:hint="eastAsia" w:ascii="仿宋_GB2312" w:hAnsi="仿宋" w:eastAsia="仿宋_GB2312" w:cs="仿宋"/>
          <w:sz w:val="32"/>
          <w:szCs w:val="32"/>
        </w:rPr>
        <w:t>。</w:t>
      </w:r>
    </w:p>
    <w:p>
      <w:pPr>
        <w:pStyle w:val="3"/>
        <w:bidi w:val="0"/>
        <w:jc w:val="left"/>
        <w:rPr>
          <w:rFonts w:hint="default" w:eastAsia="宋体"/>
          <w:lang w:val="en-US" w:eastAsia="zh-CN"/>
        </w:rPr>
      </w:pPr>
      <w:bookmarkStart w:id="135" w:name="_Toc16588"/>
      <w:r>
        <w:rPr>
          <w:rFonts w:hint="eastAsia"/>
          <w:lang w:val="en-US" w:eastAsia="zh-CN"/>
        </w:rPr>
        <w:t>四</w:t>
      </w:r>
      <w:r>
        <w:rPr>
          <w:rFonts w:hint="eastAsia"/>
        </w:rPr>
        <w:t>、</w:t>
      </w:r>
      <w:r>
        <w:rPr>
          <w:rFonts w:hint="eastAsia"/>
          <w:lang w:val="en-US" w:eastAsia="zh-CN"/>
        </w:rPr>
        <w:t>服务要求</w:t>
      </w:r>
      <w:bookmarkEnd w:id="135"/>
    </w:p>
    <w:p>
      <w:pPr>
        <w:ind w:firstLine="642" w:firstLineChars="200"/>
        <w:rPr>
          <w:rFonts w:hint="eastAsia"/>
        </w:rPr>
      </w:pPr>
      <w:r>
        <w:rPr>
          <w:rFonts w:hint="eastAsia" w:ascii="仿宋_GB2312" w:hAnsi="仿宋" w:eastAsia="仿宋_GB2312" w:cs="仿宋"/>
          <w:sz w:val="32"/>
          <w:szCs w:val="32"/>
          <w:lang w:val="en-US" w:eastAsia="zh-CN"/>
        </w:rPr>
        <w:t>供货商负责软件使用培训及技术指导，运维和故障处理等服务。服务期内提供5*8小时/周电话热线和网络咨询服务软件，在质保时间内出现新版本应免费升级。</w:t>
      </w:r>
    </w:p>
    <w:p>
      <w:pPr>
        <w:pStyle w:val="3"/>
        <w:jc w:val="both"/>
      </w:pPr>
      <w:r>
        <w:rPr>
          <w:rFonts w:hint="eastAsia"/>
          <w:lang w:val="en-US" w:eastAsia="zh-CN"/>
        </w:rPr>
        <w:t>五</w:t>
      </w:r>
      <w:r>
        <w:rPr>
          <w:rFonts w:hint="eastAsia"/>
        </w:rPr>
        <w:t>、菏泽职业学院校园正版化服务招标参数</w:t>
      </w:r>
    </w:p>
    <w:tbl>
      <w:tblPr>
        <w:tblStyle w:val="22"/>
        <w:tblW w:w="10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76"/>
        <w:gridCol w:w="992"/>
        <w:gridCol w:w="7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04" w:type="dxa"/>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bookmarkStart w:id="136" w:name="_Hlk47081104"/>
            <w:r>
              <w:rPr>
                <w:rFonts w:hint="eastAsia" w:ascii="仿宋_GB2312" w:hAnsi="仿宋" w:eastAsia="仿宋_GB2312" w:cs="仿宋"/>
                <w:sz w:val="24"/>
                <w:szCs w:val="24"/>
              </w:rPr>
              <w:t>序号</w:t>
            </w:r>
          </w:p>
        </w:tc>
        <w:tc>
          <w:tcPr>
            <w:tcW w:w="1276" w:type="dxa"/>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r>
              <w:rPr>
                <w:rFonts w:hint="eastAsia" w:ascii="仿宋_GB2312" w:hAnsi="仿宋" w:eastAsia="仿宋_GB2312" w:cs="仿宋"/>
                <w:sz w:val="24"/>
                <w:szCs w:val="24"/>
              </w:rPr>
              <w:t>货物名称</w:t>
            </w:r>
          </w:p>
        </w:tc>
        <w:tc>
          <w:tcPr>
            <w:tcW w:w="992" w:type="dxa"/>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r>
              <w:rPr>
                <w:rFonts w:hint="eastAsia" w:ascii="仿宋_GB2312" w:hAnsi="仿宋" w:eastAsia="仿宋_GB2312" w:cs="仿宋"/>
                <w:sz w:val="24"/>
                <w:szCs w:val="24"/>
              </w:rPr>
              <w:t>指标项</w:t>
            </w:r>
          </w:p>
        </w:tc>
        <w:tc>
          <w:tcPr>
            <w:tcW w:w="7245" w:type="dxa"/>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r>
              <w:rPr>
                <w:rFonts w:hint="eastAsia" w:ascii="仿宋_GB2312" w:hAnsi="仿宋" w:eastAsia="仿宋_GB2312" w:cs="仿宋"/>
                <w:sz w:val="24"/>
                <w:szCs w:val="24"/>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04" w:type="dxa"/>
            <w:vMerge w:val="restart"/>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r>
              <w:rPr>
                <w:rFonts w:hint="eastAsia" w:ascii="仿宋_GB2312" w:hAnsi="仿宋" w:eastAsia="仿宋_GB2312" w:cs="仿宋"/>
                <w:sz w:val="24"/>
                <w:szCs w:val="24"/>
              </w:rPr>
              <w:t>1</w:t>
            </w:r>
          </w:p>
        </w:tc>
        <w:tc>
          <w:tcPr>
            <w:tcW w:w="1276" w:type="dxa"/>
            <w:vMerge w:val="restart"/>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r>
              <w:rPr>
                <w:rFonts w:hint="eastAsia" w:ascii="仿宋_GB2312" w:hAnsi="仿宋" w:eastAsia="仿宋_GB2312" w:cs="仿宋"/>
                <w:sz w:val="24"/>
                <w:szCs w:val="24"/>
              </w:rPr>
              <w:t>操作系统软件服务</w:t>
            </w:r>
          </w:p>
        </w:tc>
        <w:tc>
          <w:tcPr>
            <w:tcW w:w="992" w:type="dxa"/>
            <w:vMerge w:val="restart"/>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r>
              <w:rPr>
                <w:rFonts w:hint="eastAsia" w:ascii="仿宋_GB2312" w:hAnsi="仿宋" w:eastAsia="仿宋_GB2312" w:cs="仿宋"/>
                <w:sz w:val="24"/>
                <w:szCs w:val="24"/>
              </w:rPr>
              <w:t>基本要求</w:t>
            </w: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1.授权方式：校园正版协议（Campus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2.涵盖范围：学校办公室、教室、实验室和图书馆等场所的计算机包括教职工电脑和笔记本等。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3.合约期限：</w:t>
            </w:r>
            <w:r>
              <w:rPr>
                <w:rFonts w:ascii="仿宋_GB2312" w:hAnsi="仿宋" w:eastAsia="仿宋_GB2312" w:cs="仿宋"/>
                <w:sz w:val="24"/>
                <w:szCs w:val="24"/>
              </w:rPr>
              <w:t>1</w:t>
            </w:r>
            <w:r>
              <w:rPr>
                <w:rFonts w:hint="eastAsia" w:ascii="仿宋_GB2312" w:hAnsi="仿宋" w:eastAsia="仿宋_GB2312" w:cs="仿宋"/>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4.合约有效期内，软件如有升级版本，授权对升级版本同样有效。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5.合约有效期间，新增计算机不再加收任何费用。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restart"/>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r>
              <w:rPr>
                <w:rFonts w:hint="eastAsia" w:ascii="仿宋_GB2312" w:hAnsi="仿宋" w:eastAsia="仿宋_GB2312" w:cs="仿宋"/>
                <w:sz w:val="24"/>
                <w:szCs w:val="24"/>
              </w:rPr>
              <w:t>功能要求</w:t>
            </w:r>
          </w:p>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ascii="仿宋_GB2312" w:hAnsi="仿宋" w:eastAsia="仿宋_GB2312" w:cs="仿宋"/>
                <w:sz w:val="24"/>
                <w:szCs w:val="24"/>
              </w:rPr>
              <w:t>6</w:t>
            </w:r>
            <w:r>
              <w:rPr>
                <w:rFonts w:hint="eastAsia" w:ascii="仿宋_GB2312" w:hAnsi="仿宋" w:eastAsia="仿宋_GB2312" w:cs="仿宋"/>
                <w:sz w:val="24"/>
                <w:szCs w:val="24"/>
              </w:rPr>
              <w:t>.产品语言：至少包括简体中文和英文版本。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ascii="仿宋_GB2312" w:hAnsi="仿宋" w:eastAsia="仿宋_GB2312" w:cs="仿宋"/>
                <w:sz w:val="24"/>
                <w:szCs w:val="24"/>
              </w:rPr>
              <w:t>7</w:t>
            </w:r>
            <w:r>
              <w:rPr>
                <w:rFonts w:hint="eastAsia" w:ascii="仿宋_GB2312" w:hAnsi="仿宋" w:eastAsia="仿宋_GB2312" w:cs="仿宋"/>
                <w:sz w:val="24"/>
                <w:szCs w:val="24"/>
              </w:rPr>
              <w:t>.桌面操作系统要能够支持系统之间轻松传送，可以将原有低版本系统上的文件、文件夹、程序设置和系统设置从旧 PC 转移到新 PC；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ascii="仿宋_GB2312" w:hAnsi="仿宋" w:eastAsia="仿宋_GB2312" w:cs="仿宋"/>
                <w:sz w:val="24"/>
                <w:szCs w:val="24"/>
              </w:rPr>
              <w:t>8</w:t>
            </w:r>
            <w:r>
              <w:rPr>
                <w:rFonts w:hint="eastAsia" w:ascii="仿宋_GB2312" w:hAnsi="仿宋" w:eastAsia="仿宋_GB2312" w:cs="仿宋"/>
                <w:sz w:val="24"/>
                <w:szCs w:val="24"/>
              </w:rPr>
              <w:t>.支持自适应性显示器亮度。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ascii="仿宋_GB2312" w:hAnsi="仿宋" w:eastAsia="仿宋_GB2312" w:cs="仿宋"/>
                <w:sz w:val="24"/>
                <w:szCs w:val="24"/>
              </w:rPr>
              <w:t>9</w:t>
            </w:r>
            <w:r>
              <w:rPr>
                <w:rFonts w:hint="eastAsia" w:ascii="仿宋_GB2312" w:hAnsi="仿宋" w:eastAsia="仿宋_GB2312" w:cs="仿宋"/>
                <w:sz w:val="24"/>
                <w:szCs w:val="24"/>
              </w:rPr>
              <w:t>.支持用户帐户控制。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1</w:t>
            </w:r>
            <w:r>
              <w:rPr>
                <w:rFonts w:ascii="仿宋_GB2312" w:hAnsi="仿宋" w:eastAsia="仿宋_GB2312" w:cs="仿宋"/>
                <w:sz w:val="24"/>
                <w:szCs w:val="24"/>
              </w:rPr>
              <w:t>0</w:t>
            </w:r>
            <w:r>
              <w:rPr>
                <w:rFonts w:hint="eastAsia" w:ascii="仿宋_GB2312" w:hAnsi="仿宋" w:eastAsia="仿宋_GB2312" w:cs="仿宋"/>
                <w:sz w:val="24"/>
                <w:szCs w:val="24"/>
              </w:rPr>
              <w:t>.支持家长控制（Parental Controls）。父母可以指定孩子能玩哪些计算机游戏，并且能设置孩子使用计算机的时间，以确保不会耽误孩子的学习。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1</w:t>
            </w:r>
            <w:r>
              <w:rPr>
                <w:rFonts w:ascii="仿宋_GB2312" w:hAnsi="仿宋" w:eastAsia="仿宋_GB2312" w:cs="仿宋"/>
                <w:sz w:val="24"/>
                <w:szCs w:val="24"/>
              </w:rPr>
              <w:t>1</w:t>
            </w:r>
            <w:r>
              <w:rPr>
                <w:rFonts w:hint="eastAsia" w:ascii="仿宋_GB2312" w:hAnsi="仿宋" w:eastAsia="仿宋_GB2312" w:cs="仿宋"/>
                <w:sz w:val="24"/>
                <w:szCs w:val="24"/>
              </w:rPr>
              <w:t>.平台安全稳定。具有基本的安全功能（如内核修补程序保护、服务强化、数据执行保护、地址空间布局随机选择和强制完整性级别），并针对恶意软件和攻击提供增强的防护。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1</w:t>
            </w:r>
            <w:r>
              <w:rPr>
                <w:rFonts w:ascii="仿宋_GB2312" w:hAnsi="仿宋" w:eastAsia="仿宋_GB2312" w:cs="仿宋"/>
                <w:sz w:val="24"/>
                <w:szCs w:val="24"/>
              </w:rPr>
              <w:t>2</w:t>
            </w:r>
            <w:r>
              <w:rPr>
                <w:rFonts w:hint="eastAsia" w:ascii="仿宋_GB2312" w:hAnsi="仿宋" w:eastAsia="仿宋_GB2312" w:cs="仿宋"/>
                <w:sz w:val="24"/>
                <w:szCs w:val="24"/>
              </w:rPr>
              <w:t>.支持系统还原。系统还原点在备份中也可用，可以从一个更大的还原点列表中进行选择，并且可能覆盖很长一段时间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1</w:t>
            </w:r>
            <w:r>
              <w:rPr>
                <w:rFonts w:ascii="仿宋_GB2312" w:hAnsi="仿宋" w:eastAsia="仿宋_GB2312" w:cs="仿宋"/>
                <w:sz w:val="24"/>
                <w:szCs w:val="24"/>
              </w:rPr>
              <w:t>3</w:t>
            </w:r>
            <w:r>
              <w:rPr>
                <w:rFonts w:hint="eastAsia" w:ascii="仿宋_GB2312" w:hAnsi="仿宋" w:eastAsia="仿宋_GB2312" w:cs="仿宋"/>
                <w:sz w:val="24"/>
                <w:szCs w:val="24"/>
              </w:rPr>
              <w:t>.支持操作系统疑难解答可以诊断并解决常见的操作系统和硬件问题，它针对一些不同类型的问题提供了内置的疑难解答程序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1</w:t>
            </w:r>
            <w:r>
              <w:rPr>
                <w:rFonts w:ascii="仿宋_GB2312" w:hAnsi="仿宋" w:eastAsia="仿宋_GB2312" w:cs="仿宋"/>
                <w:sz w:val="24"/>
                <w:szCs w:val="24"/>
              </w:rPr>
              <w:t>4</w:t>
            </w:r>
            <w:r>
              <w:rPr>
                <w:rFonts w:hint="eastAsia" w:ascii="仿宋_GB2312" w:hAnsi="仿宋" w:eastAsia="仿宋_GB2312" w:cs="仿宋"/>
                <w:sz w:val="24"/>
                <w:szCs w:val="24"/>
              </w:rPr>
              <w:t>.支持自动化的启动修复工具来诊断和恢复无法启动的系统。如果遇到无法成功启动的情况，操作系统会自动加载启动修复，它会扫描 PC 中的问题（比如注册表损坏、系统文件丢失或启动配置数据无效），并在可能的情况下自动修复它们，然后像往常一样重新启动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1</w:t>
            </w:r>
            <w:r>
              <w:rPr>
                <w:rFonts w:ascii="仿宋_GB2312" w:hAnsi="仿宋" w:eastAsia="仿宋_GB2312" w:cs="仿宋"/>
                <w:sz w:val="24"/>
                <w:szCs w:val="24"/>
              </w:rPr>
              <w:t>5</w:t>
            </w:r>
            <w:r>
              <w:rPr>
                <w:rFonts w:hint="eastAsia" w:ascii="仿宋_GB2312" w:hAnsi="仿宋" w:eastAsia="仿宋_GB2312" w:cs="仿宋"/>
                <w:sz w:val="24"/>
                <w:szCs w:val="24"/>
              </w:rPr>
              <w:t>.支持从其他电脑远程访问某台电脑上的文件和程序。能够进行脱机操作，自动将电脑和网络上的内容同步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1</w:t>
            </w:r>
            <w:r>
              <w:rPr>
                <w:rFonts w:ascii="仿宋_GB2312" w:hAnsi="仿宋" w:eastAsia="仿宋_GB2312" w:cs="仿宋"/>
                <w:sz w:val="24"/>
                <w:szCs w:val="24"/>
              </w:rPr>
              <w:t>6</w:t>
            </w:r>
            <w:r>
              <w:rPr>
                <w:rFonts w:hint="eastAsia" w:ascii="仿宋_GB2312" w:hAnsi="仿宋" w:eastAsia="仿宋_GB2312" w:cs="仿宋"/>
                <w:sz w:val="24"/>
                <w:szCs w:val="24"/>
              </w:rPr>
              <w:t>.支持智能输入和最近搜索。它可以根据之前的搜索呈现输入建议，并动态过滤这些建议来帮助缩小结果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1</w:t>
            </w:r>
            <w:r>
              <w:rPr>
                <w:rFonts w:ascii="仿宋_GB2312" w:hAnsi="仿宋" w:eastAsia="仿宋_GB2312" w:cs="仿宋"/>
                <w:sz w:val="24"/>
                <w:szCs w:val="24"/>
              </w:rPr>
              <w:t>7</w:t>
            </w:r>
            <w:r>
              <w:rPr>
                <w:rFonts w:hint="eastAsia" w:ascii="仿宋_GB2312" w:hAnsi="仿宋" w:eastAsia="仿宋_GB2312" w:cs="仿宋"/>
                <w:sz w:val="24"/>
                <w:szCs w:val="24"/>
              </w:rPr>
              <w:t>.支持操作系统内置支持的的本地全局搜索。只需在搜索框中输入少许字母，就会显示匹配的文档、图片、音乐、电子邮件和其他文件的列表，所有内容都排列在相应的类别下。还可以直接在开始菜单中搜索控制面板任务，以便快速调整计算机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restart"/>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r>
              <w:rPr>
                <w:rFonts w:hint="eastAsia" w:ascii="仿宋_GB2312" w:hAnsi="仿宋" w:eastAsia="仿宋_GB2312" w:cs="仿宋"/>
                <w:sz w:val="24"/>
                <w:szCs w:val="24"/>
              </w:rPr>
              <w:t>重点技术服务参数要求</w:t>
            </w:r>
          </w:p>
        </w:tc>
        <w:tc>
          <w:tcPr>
            <w:tcW w:w="7245" w:type="dxa"/>
            <w:vAlign w:val="center"/>
          </w:tcPr>
          <w:p>
            <w:pPr>
              <w:keepNext w:val="0"/>
              <w:keepLines w:val="0"/>
              <w:pageBreakBefore w:val="0"/>
              <w:widowControl/>
              <w:numPr>
                <w:ilvl w:val="0"/>
                <w:numId w:val="10"/>
              </w:numPr>
              <w:kinsoku/>
              <w:overflowPunct/>
              <w:topLinePunct w:val="0"/>
              <w:bidi w:val="0"/>
              <w:adjustRightInd/>
              <w:snapToGrid/>
              <w:ind w:firstLine="0" w:firstLineChars="0"/>
              <w:textAlignment w:val="auto"/>
              <w:rPr>
                <w:rFonts w:hint="eastAsia" w:ascii="仿宋_GB2312" w:hAnsi="仿宋" w:eastAsia="仿宋_GB2312" w:cs="仿宋"/>
                <w:sz w:val="24"/>
                <w:szCs w:val="24"/>
              </w:rPr>
            </w:pPr>
            <w:r>
              <w:rPr>
                <w:rFonts w:hint="eastAsia" w:ascii="仿宋_GB2312" w:hAnsi="仿宋" w:eastAsia="仿宋_GB2312" w:cs="仿宋"/>
                <w:sz w:val="24"/>
                <w:szCs w:val="24"/>
              </w:rPr>
              <w:t>提供操作系统的功能检测报告</w:t>
            </w:r>
          </w:p>
          <w:p>
            <w:pPr>
              <w:keepNext w:val="0"/>
              <w:keepLines w:val="0"/>
              <w:pageBreakBefore w:val="0"/>
              <w:widowControl/>
              <w:numPr>
                <w:ilvl w:val="0"/>
                <w:numId w:val="0"/>
              </w:numPr>
              <w:kinsoku/>
              <w:overflowPunct/>
              <w:topLinePunct w:val="0"/>
              <w:bidi w:val="0"/>
              <w:adjustRightInd/>
              <w:snapToGrid/>
              <w:textAlignment w:val="auto"/>
              <w:rPr>
                <w:rFonts w:ascii="仿宋_GB2312" w:hAnsi="仿宋" w:eastAsia="仿宋_GB2312" w:cs="仿宋"/>
                <w:sz w:val="24"/>
                <w:szCs w:val="24"/>
              </w:rPr>
            </w:pPr>
            <w:r>
              <w:rPr>
                <w:rFonts w:hint="eastAsia" w:ascii="仿宋_GB2312" w:hAnsi="仿宋" w:eastAsia="仿宋_GB2312" w:cs="仿宋"/>
                <w:b/>
                <w:bCs/>
                <w:sz w:val="24"/>
                <w:szCs w:val="24"/>
                <w:lang w:val="en-US" w:eastAsia="zh-CN"/>
              </w:rPr>
              <w:t>注：提供</w:t>
            </w:r>
            <w:r>
              <w:rPr>
                <w:rFonts w:hint="eastAsia" w:ascii="仿宋_GB2312" w:hAnsi="仿宋" w:eastAsia="仿宋_GB2312" w:cs="仿宋"/>
                <w:b/>
                <w:bCs/>
                <w:sz w:val="24"/>
                <w:szCs w:val="24"/>
              </w:rPr>
              <w:t>复印件加盖原厂商公章（</w:t>
            </w:r>
            <w:r>
              <w:rPr>
                <w:rFonts w:hint="eastAsia" w:ascii="仿宋_GB2312" w:hAnsi="仿宋" w:eastAsia="仿宋_GB2312" w:cs="仿宋"/>
                <w:b/>
                <w:bCs/>
                <w:sz w:val="24"/>
                <w:szCs w:val="24"/>
                <w:lang w:val="en-US" w:eastAsia="zh-CN"/>
              </w:rPr>
              <w:t>原件扫描件</w:t>
            </w:r>
            <w:r>
              <w:rPr>
                <w:rFonts w:hint="eastAsia" w:ascii="仿宋_GB2312" w:hAnsi="仿宋" w:eastAsia="仿宋_GB2312" w:cs="仿宋"/>
                <w:b/>
                <w:bCs/>
                <w:sz w:val="24"/>
                <w:szCs w:val="24"/>
              </w:rPr>
              <w:t>需附在</w:t>
            </w:r>
            <w:r>
              <w:rPr>
                <w:rFonts w:hint="eastAsia" w:ascii="仿宋_GB2312" w:hAnsi="仿宋" w:eastAsia="仿宋_GB2312" w:cs="仿宋"/>
                <w:b/>
                <w:bCs/>
                <w:sz w:val="24"/>
                <w:szCs w:val="24"/>
                <w:lang w:val="en-US" w:eastAsia="zh-CN"/>
              </w:rPr>
              <w:t>响应</w:t>
            </w:r>
            <w:r>
              <w:rPr>
                <w:rFonts w:hint="eastAsia" w:ascii="仿宋_GB2312" w:hAnsi="仿宋" w:eastAsia="仿宋_GB2312" w:cs="仿宋"/>
                <w:b/>
                <w:bCs/>
                <w:sz w:val="24"/>
                <w:szCs w:val="24"/>
              </w:rPr>
              <w:t>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numPr>
                <w:ilvl w:val="0"/>
                <w:numId w:val="10"/>
              </w:numPr>
              <w:kinsoku/>
              <w:overflowPunct/>
              <w:topLinePunct w:val="0"/>
              <w:bidi w:val="0"/>
              <w:adjustRightInd/>
              <w:snapToGrid/>
              <w:ind w:left="0" w:leftChars="0" w:firstLine="0" w:firstLineChars="0"/>
              <w:textAlignment w:val="auto"/>
              <w:rPr>
                <w:rFonts w:hint="eastAsia" w:ascii="仿宋_GB2312" w:hAnsi="仿宋" w:eastAsia="仿宋_GB2312" w:cs="仿宋"/>
                <w:sz w:val="24"/>
                <w:szCs w:val="24"/>
              </w:rPr>
            </w:pPr>
            <w:r>
              <w:rPr>
                <w:rFonts w:hint="eastAsia" w:ascii="仿宋_GB2312" w:hAnsi="仿宋" w:eastAsia="仿宋_GB2312" w:cs="仿宋"/>
                <w:sz w:val="24"/>
                <w:szCs w:val="24"/>
              </w:rPr>
              <w:t>提供非进口报告</w:t>
            </w:r>
          </w:p>
          <w:p>
            <w:pPr>
              <w:keepNext w:val="0"/>
              <w:keepLines w:val="0"/>
              <w:pageBreakBefore w:val="0"/>
              <w:widowControl/>
              <w:numPr>
                <w:ilvl w:val="0"/>
                <w:numId w:val="0"/>
              </w:numPr>
              <w:kinsoku/>
              <w:overflowPunct/>
              <w:topLinePunct w:val="0"/>
              <w:bidi w:val="0"/>
              <w:adjustRightInd/>
              <w:snapToGrid/>
              <w:ind w:leftChars="0"/>
              <w:textAlignment w:val="auto"/>
              <w:rPr>
                <w:rFonts w:ascii="仿宋_GB2312" w:hAnsi="仿宋" w:eastAsia="仿宋_GB2312" w:cs="仿宋"/>
                <w:sz w:val="24"/>
                <w:szCs w:val="24"/>
              </w:rPr>
            </w:pPr>
            <w:r>
              <w:rPr>
                <w:rFonts w:hint="eastAsia" w:ascii="仿宋_GB2312" w:hAnsi="仿宋" w:eastAsia="仿宋_GB2312" w:cs="仿宋"/>
                <w:b/>
                <w:bCs/>
                <w:sz w:val="24"/>
                <w:szCs w:val="24"/>
                <w:lang w:val="en-US" w:eastAsia="zh-CN"/>
              </w:rPr>
              <w:t>注：提供</w:t>
            </w:r>
            <w:r>
              <w:rPr>
                <w:rFonts w:hint="eastAsia" w:ascii="仿宋_GB2312" w:hAnsi="仿宋" w:eastAsia="仿宋_GB2312" w:cs="仿宋"/>
                <w:b/>
                <w:bCs/>
                <w:sz w:val="24"/>
                <w:szCs w:val="24"/>
              </w:rPr>
              <w:t>复印件加盖原厂商公章（</w:t>
            </w:r>
            <w:r>
              <w:rPr>
                <w:rFonts w:hint="eastAsia" w:ascii="仿宋_GB2312" w:hAnsi="仿宋" w:eastAsia="仿宋_GB2312" w:cs="仿宋"/>
                <w:b/>
                <w:bCs/>
                <w:sz w:val="24"/>
                <w:szCs w:val="24"/>
                <w:lang w:val="en-US" w:eastAsia="zh-CN"/>
              </w:rPr>
              <w:t>原件扫描件</w:t>
            </w:r>
            <w:r>
              <w:rPr>
                <w:rFonts w:hint="eastAsia" w:ascii="仿宋_GB2312" w:hAnsi="仿宋" w:eastAsia="仿宋_GB2312" w:cs="仿宋"/>
                <w:b/>
                <w:bCs/>
                <w:sz w:val="24"/>
                <w:szCs w:val="24"/>
              </w:rPr>
              <w:t>需附在</w:t>
            </w:r>
            <w:r>
              <w:rPr>
                <w:rFonts w:hint="eastAsia" w:ascii="仿宋_GB2312" w:hAnsi="仿宋" w:eastAsia="仿宋_GB2312" w:cs="仿宋"/>
                <w:b/>
                <w:bCs/>
                <w:sz w:val="24"/>
                <w:szCs w:val="24"/>
                <w:lang w:val="en-US" w:eastAsia="zh-CN"/>
              </w:rPr>
              <w:t>响应</w:t>
            </w:r>
            <w:r>
              <w:rPr>
                <w:rFonts w:hint="eastAsia" w:ascii="仿宋_GB2312" w:hAnsi="仿宋" w:eastAsia="仿宋_GB2312" w:cs="仿宋"/>
                <w:b/>
                <w:bCs/>
                <w:sz w:val="24"/>
                <w:szCs w:val="24"/>
              </w:rPr>
              <w:t>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restart"/>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服务要求</w:t>
            </w: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2</w:t>
            </w:r>
            <w:r>
              <w:rPr>
                <w:rFonts w:ascii="仿宋_GB2312" w:hAnsi="仿宋" w:eastAsia="仿宋_GB2312" w:cs="仿宋"/>
                <w:sz w:val="24"/>
                <w:szCs w:val="24"/>
                <w:highlight w:val="none"/>
              </w:rPr>
              <w:t>0</w:t>
            </w:r>
            <w:r>
              <w:rPr>
                <w:rFonts w:hint="eastAsia" w:ascii="仿宋_GB2312" w:hAnsi="仿宋" w:eastAsia="仿宋_GB2312" w:cs="仿宋"/>
                <w:sz w:val="24"/>
                <w:szCs w:val="24"/>
                <w:highlight w:val="none"/>
              </w:rPr>
              <w:t>.服务期限：</w:t>
            </w:r>
            <w:r>
              <w:rPr>
                <w:rFonts w:ascii="仿宋_GB2312" w:hAnsi="仿宋" w:eastAsia="仿宋_GB2312" w:cs="仿宋"/>
                <w:sz w:val="24"/>
                <w:szCs w:val="24"/>
                <w:highlight w:val="none"/>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2</w:t>
            </w:r>
            <w:r>
              <w:rPr>
                <w:rFonts w:ascii="仿宋_GB2312" w:hAnsi="仿宋" w:eastAsia="仿宋_GB2312" w:cs="仿宋"/>
                <w:sz w:val="24"/>
                <w:szCs w:val="24"/>
              </w:rPr>
              <w:t>1</w:t>
            </w:r>
            <w:r>
              <w:rPr>
                <w:rFonts w:hint="eastAsia" w:ascii="仿宋_GB2312" w:hAnsi="仿宋" w:eastAsia="仿宋_GB2312" w:cs="仿宋"/>
                <w:sz w:val="24"/>
                <w:szCs w:val="24"/>
              </w:rPr>
              <w:t>.提供软件补丁更新和技术支持（包括电话支持和在线支持）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04" w:type="dxa"/>
            <w:vMerge w:val="restart"/>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bookmarkStart w:id="137" w:name="_Hlk66721904"/>
            <w:r>
              <w:rPr>
                <w:rFonts w:ascii="仿宋_GB2312" w:hAnsi="仿宋" w:eastAsia="仿宋_GB2312" w:cs="仿宋"/>
                <w:sz w:val="24"/>
                <w:szCs w:val="24"/>
              </w:rPr>
              <w:t>2</w:t>
            </w:r>
          </w:p>
        </w:tc>
        <w:tc>
          <w:tcPr>
            <w:tcW w:w="1276" w:type="dxa"/>
            <w:vMerge w:val="restart"/>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r>
              <w:rPr>
                <w:rFonts w:hint="eastAsia" w:ascii="仿宋_GB2312" w:hAnsi="仿宋" w:eastAsia="仿宋_GB2312" w:cs="仿宋"/>
                <w:sz w:val="24"/>
                <w:szCs w:val="24"/>
              </w:rPr>
              <w:t>办公软件服务</w:t>
            </w:r>
          </w:p>
        </w:tc>
        <w:tc>
          <w:tcPr>
            <w:tcW w:w="992" w:type="dxa"/>
            <w:vMerge w:val="restart"/>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r>
              <w:rPr>
                <w:rFonts w:hint="eastAsia" w:ascii="仿宋_GB2312" w:hAnsi="仿宋" w:eastAsia="仿宋_GB2312" w:cs="仿宋"/>
                <w:sz w:val="24"/>
                <w:szCs w:val="24"/>
              </w:rPr>
              <w:t>基本要求</w:t>
            </w:r>
          </w:p>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1.授权方式：校园正版协议（Campus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2.涵盖范围：学校办公室、教室、实验室和图书馆等场所的计算机包括教职工电脑和笔记本等。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3.合约期限：</w:t>
            </w:r>
            <w:r>
              <w:rPr>
                <w:rFonts w:ascii="仿宋_GB2312" w:hAnsi="仿宋" w:eastAsia="仿宋_GB2312" w:cs="仿宋"/>
                <w:sz w:val="24"/>
                <w:szCs w:val="24"/>
              </w:rPr>
              <w:t>1</w:t>
            </w:r>
            <w:r>
              <w:rPr>
                <w:rFonts w:hint="eastAsia" w:ascii="仿宋_GB2312" w:hAnsi="仿宋" w:eastAsia="仿宋_GB2312" w:cs="仿宋"/>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4.合约有效期内，软件如有升级版本，授权对升级版本同样有效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5.合约有效期间，新增计算机不再加收任何费用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restart"/>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r>
              <w:rPr>
                <w:rFonts w:hint="eastAsia" w:ascii="仿宋_GB2312" w:hAnsi="仿宋" w:eastAsia="仿宋_GB2312" w:cs="仿宋"/>
                <w:sz w:val="24"/>
                <w:szCs w:val="24"/>
              </w:rPr>
              <w:t>功能要求</w:t>
            </w: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ascii="仿宋_GB2312" w:hAnsi="仿宋" w:eastAsia="仿宋_GB2312" w:cs="仿宋"/>
                <w:sz w:val="24"/>
                <w:szCs w:val="24"/>
              </w:rPr>
              <w:t>6</w:t>
            </w:r>
            <w:r>
              <w:rPr>
                <w:rFonts w:hint="eastAsia" w:ascii="仿宋_GB2312" w:hAnsi="仿宋" w:eastAsia="仿宋_GB2312" w:cs="仿宋"/>
                <w:sz w:val="24"/>
                <w:szCs w:val="24"/>
              </w:rPr>
              <w:t>.产品分别能支持Windows平台和mac平台。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ascii="仿宋_GB2312" w:hAnsi="仿宋" w:eastAsia="仿宋_GB2312" w:cs="仿宋"/>
                <w:sz w:val="24"/>
                <w:szCs w:val="24"/>
              </w:rPr>
              <w:t>7</w:t>
            </w:r>
            <w:r>
              <w:rPr>
                <w:rFonts w:hint="eastAsia" w:ascii="仿宋_GB2312" w:hAnsi="仿宋" w:eastAsia="仿宋_GB2312" w:cs="仿宋"/>
                <w:sz w:val="24"/>
                <w:szCs w:val="24"/>
              </w:rPr>
              <w:t>.必须包含以下组件：</w:t>
            </w:r>
          </w:p>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1）文字处理软件</w:t>
            </w:r>
          </w:p>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2）电子表格软件</w:t>
            </w:r>
          </w:p>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3）PPT演示软件</w:t>
            </w:r>
          </w:p>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4）电子邮件访问软件</w:t>
            </w:r>
          </w:p>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5）电子笔记本软件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ascii="仿宋_GB2312" w:hAnsi="仿宋" w:eastAsia="仿宋_GB2312" w:cs="仿宋"/>
                <w:sz w:val="24"/>
                <w:szCs w:val="24"/>
              </w:rPr>
              <w:t>8</w:t>
            </w:r>
            <w:r>
              <w:rPr>
                <w:rFonts w:hint="eastAsia" w:ascii="仿宋_GB2312" w:hAnsi="仿宋" w:eastAsia="仿宋_GB2312" w:cs="仿宋"/>
                <w:sz w:val="24"/>
                <w:szCs w:val="24"/>
              </w:rPr>
              <w:t>.提供以结果为导向的用户界面，让操作更为流畅、简洁；</w:t>
            </w:r>
          </w:p>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1） “上下文选项卡”可智能感知用户操作，并将所需命令全盘奉上</w:t>
            </w:r>
          </w:p>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2）智能标记等可以出现在所有应用程序中，快速帮助用户完成所需的工作</w:t>
            </w:r>
          </w:p>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3） 必须提供智能文档（SmartDoc）的操作，使文档的制作更加智能化</w:t>
            </w:r>
          </w:p>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4）必须提供智能图形（SmartArt）的制作，使信息以更加直观、生动的方式展现出来</w:t>
            </w:r>
          </w:p>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5） 应用程序组件之间可以相互沟通，最大限度地实现数据再利用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ascii="仿宋_GB2312" w:hAnsi="仿宋" w:eastAsia="仿宋_GB2312" w:cs="仿宋"/>
                <w:sz w:val="24"/>
                <w:szCs w:val="24"/>
              </w:rPr>
              <w:t>9</w:t>
            </w:r>
            <w:r>
              <w:rPr>
                <w:rFonts w:hint="eastAsia" w:ascii="仿宋_GB2312" w:hAnsi="仿宋" w:eastAsia="仿宋_GB2312" w:cs="仿宋"/>
                <w:sz w:val="24"/>
                <w:szCs w:val="24"/>
              </w:rPr>
              <w:t>.必须应包含12类不同应用领域的300多个函数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1</w:t>
            </w:r>
            <w:r>
              <w:rPr>
                <w:rFonts w:ascii="仿宋_GB2312" w:hAnsi="仿宋" w:eastAsia="仿宋_GB2312" w:cs="仿宋"/>
                <w:sz w:val="24"/>
                <w:szCs w:val="24"/>
              </w:rPr>
              <w:t>0</w:t>
            </w:r>
            <w:r>
              <w:rPr>
                <w:rFonts w:hint="eastAsia" w:ascii="仿宋_GB2312" w:hAnsi="仿宋" w:eastAsia="仿宋_GB2312" w:cs="仿宋"/>
                <w:sz w:val="24"/>
                <w:szCs w:val="24"/>
              </w:rPr>
              <w:t>.必须提供强大的数据分析和处理能力，包括筛选数据、分类汇总、规划求解、最优化方案统计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1</w:t>
            </w:r>
            <w:r>
              <w:rPr>
                <w:rFonts w:ascii="仿宋_GB2312" w:hAnsi="仿宋" w:eastAsia="仿宋_GB2312" w:cs="仿宋"/>
                <w:sz w:val="24"/>
                <w:szCs w:val="24"/>
              </w:rPr>
              <w:t>1</w:t>
            </w:r>
            <w:r>
              <w:rPr>
                <w:rFonts w:hint="eastAsia" w:ascii="仿宋_GB2312" w:hAnsi="仿宋" w:eastAsia="仿宋_GB2312" w:cs="仿宋"/>
                <w:sz w:val="24"/>
                <w:szCs w:val="24"/>
              </w:rPr>
              <w:t>.必须提供专业化的数据分析工具库，如回归分析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1</w:t>
            </w:r>
            <w:r>
              <w:rPr>
                <w:rFonts w:ascii="仿宋_GB2312" w:hAnsi="仿宋" w:eastAsia="仿宋_GB2312" w:cs="仿宋"/>
                <w:sz w:val="24"/>
                <w:szCs w:val="24"/>
              </w:rPr>
              <w:t>2</w:t>
            </w:r>
            <w:r>
              <w:rPr>
                <w:rFonts w:hint="eastAsia" w:ascii="仿宋_GB2312" w:hAnsi="仿宋" w:eastAsia="仿宋_GB2312" w:cs="仿宋"/>
                <w:sz w:val="24"/>
                <w:szCs w:val="24"/>
              </w:rPr>
              <w:t>.必须提供数据透视分析功能和切片器功能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1</w:t>
            </w:r>
            <w:r>
              <w:rPr>
                <w:rFonts w:ascii="仿宋_GB2312" w:hAnsi="仿宋" w:eastAsia="仿宋_GB2312" w:cs="仿宋"/>
                <w:sz w:val="24"/>
                <w:szCs w:val="24"/>
              </w:rPr>
              <w:t>3</w:t>
            </w:r>
            <w:r>
              <w:rPr>
                <w:rFonts w:hint="eastAsia" w:ascii="仿宋_GB2312" w:hAnsi="仿宋" w:eastAsia="仿宋_GB2312" w:cs="仿宋"/>
                <w:sz w:val="24"/>
                <w:szCs w:val="24"/>
              </w:rPr>
              <w:t>.必须提供数据分析的迷你图设计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1</w:t>
            </w:r>
            <w:r>
              <w:rPr>
                <w:rFonts w:ascii="仿宋_GB2312" w:hAnsi="仿宋" w:eastAsia="仿宋_GB2312" w:cs="仿宋"/>
                <w:sz w:val="24"/>
                <w:szCs w:val="24"/>
              </w:rPr>
              <w:t>4</w:t>
            </w:r>
            <w:r>
              <w:rPr>
                <w:rFonts w:hint="eastAsia" w:ascii="仿宋_GB2312" w:hAnsi="仿宋" w:eastAsia="仿宋_GB2312" w:cs="仿宋"/>
                <w:sz w:val="24"/>
                <w:szCs w:val="24"/>
              </w:rPr>
              <w:t>.提供增强的条件格式功能让数据展现更为精彩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1</w:t>
            </w:r>
            <w:r>
              <w:rPr>
                <w:rFonts w:ascii="仿宋_GB2312" w:hAnsi="仿宋" w:eastAsia="仿宋_GB2312" w:cs="仿宋"/>
                <w:sz w:val="24"/>
                <w:szCs w:val="24"/>
              </w:rPr>
              <w:t>5</w:t>
            </w:r>
            <w:r>
              <w:rPr>
                <w:rFonts w:hint="eastAsia" w:ascii="仿宋_GB2312" w:hAnsi="仿宋" w:eastAsia="仿宋_GB2312" w:cs="仿宋"/>
                <w:sz w:val="24"/>
                <w:szCs w:val="24"/>
              </w:rPr>
              <w:t>.提供面向工作成果的用户界面，可使用户从收集预定义样式、表格格式、列表格式、图形效果等内容的库中进行挑选，大大节省时间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1</w:t>
            </w:r>
            <w:r>
              <w:rPr>
                <w:rFonts w:ascii="仿宋_GB2312" w:hAnsi="仿宋" w:eastAsia="仿宋_GB2312" w:cs="仿宋"/>
                <w:sz w:val="24"/>
                <w:szCs w:val="24"/>
              </w:rPr>
              <w:t>6</w:t>
            </w:r>
            <w:r>
              <w:rPr>
                <w:rFonts w:hint="eastAsia" w:ascii="仿宋_GB2312" w:hAnsi="仿宋" w:eastAsia="仿宋_GB2312" w:cs="仿宋"/>
                <w:sz w:val="24"/>
                <w:szCs w:val="24"/>
              </w:rPr>
              <w:t>.能够将网上的模板嵌入各种应用程序中，使用户可以在新建文档时，快速创建并使用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1</w:t>
            </w:r>
            <w:r>
              <w:rPr>
                <w:rFonts w:ascii="仿宋_GB2312" w:hAnsi="仿宋" w:eastAsia="仿宋_GB2312" w:cs="仿宋"/>
                <w:sz w:val="24"/>
                <w:szCs w:val="24"/>
              </w:rPr>
              <w:t>7</w:t>
            </w:r>
            <w:r>
              <w:rPr>
                <w:rFonts w:hint="eastAsia" w:ascii="仿宋_GB2312" w:hAnsi="仿宋" w:eastAsia="仿宋_GB2312" w:cs="仿宋"/>
                <w:sz w:val="24"/>
                <w:szCs w:val="24"/>
              </w:rPr>
              <w:t>.采用基于Open XML的文件格式，可提高文件的安全性，减少文件损坏的几率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ascii="仿宋_GB2312" w:hAnsi="仿宋" w:eastAsia="仿宋_GB2312" w:cs="仿宋"/>
                <w:sz w:val="24"/>
                <w:szCs w:val="24"/>
              </w:rPr>
              <w:t>18</w:t>
            </w:r>
            <w:r>
              <w:rPr>
                <w:rFonts w:hint="eastAsia" w:ascii="仿宋_GB2312" w:hAnsi="仿宋" w:eastAsia="仿宋_GB2312" w:cs="仿宋"/>
                <w:sz w:val="24"/>
                <w:szCs w:val="24"/>
              </w:rPr>
              <w:t>.提供文档检查器，可自动删除文档中的个人标识性信息，有效保护私人信息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ascii="仿宋_GB2312" w:hAnsi="仿宋" w:eastAsia="仿宋_GB2312" w:cs="仿宋"/>
                <w:sz w:val="24"/>
                <w:szCs w:val="24"/>
              </w:rPr>
              <w:t>19</w:t>
            </w:r>
            <w:r>
              <w:rPr>
                <w:rFonts w:hint="eastAsia" w:ascii="仿宋_GB2312" w:hAnsi="仿宋" w:eastAsia="仿宋_GB2312" w:cs="仿宋"/>
                <w:sz w:val="24"/>
                <w:szCs w:val="24"/>
              </w:rPr>
              <w:t>.提供文字处理软件文档的分段保护功能，使得不同用户对文档的不同部分拥有不同的编辑权限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ascii="仿宋_GB2312" w:hAnsi="仿宋" w:eastAsia="仿宋_GB2312" w:cs="仿宋"/>
                <w:sz w:val="24"/>
                <w:szCs w:val="24"/>
              </w:rPr>
              <w:t>20</w:t>
            </w:r>
            <w:r>
              <w:rPr>
                <w:rFonts w:hint="eastAsia" w:ascii="仿宋_GB2312" w:hAnsi="仿宋" w:eastAsia="仿宋_GB2312" w:cs="仿宋"/>
                <w:sz w:val="24"/>
                <w:szCs w:val="24"/>
              </w:rPr>
              <w:t>.提供更为严格的文档密保机制，有效地提高了机密文档和信息的安全性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2</w:t>
            </w:r>
            <w:r>
              <w:rPr>
                <w:rFonts w:ascii="仿宋_GB2312" w:hAnsi="仿宋" w:eastAsia="仿宋_GB2312" w:cs="仿宋"/>
                <w:sz w:val="24"/>
                <w:szCs w:val="24"/>
              </w:rPr>
              <w:t>1</w:t>
            </w:r>
            <w:r>
              <w:rPr>
                <w:rFonts w:hint="eastAsia" w:ascii="仿宋_GB2312" w:hAnsi="仿宋" w:eastAsia="仿宋_GB2312" w:cs="仿宋"/>
                <w:sz w:val="24"/>
                <w:szCs w:val="24"/>
              </w:rPr>
              <w:t>.提供共同创作功能，允许团队中的多人在同一时刻，利用多个办公软件应用程序，对同一服务器文档的不同章节进行编辑，并可同步更新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2</w:t>
            </w:r>
            <w:r>
              <w:rPr>
                <w:rFonts w:ascii="仿宋_GB2312" w:hAnsi="仿宋" w:eastAsia="仿宋_GB2312" w:cs="仿宋"/>
                <w:sz w:val="24"/>
                <w:szCs w:val="24"/>
              </w:rPr>
              <w:t>2</w:t>
            </w:r>
            <w:r>
              <w:rPr>
                <w:rFonts w:hint="eastAsia" w:ascii="仿宋_GB2312" w:hAnsi="仿宋" w:eastAsia="仿宋_GB2312" w:cs="仿宋"/>
                <w:sz w:val="24"/>
                <w:szCs w:val="24"/>
              </w:rPr>
              <w:t>.能够与前端内容创建应用集成，包括（团队协作、门户技术、内容管理、业务流程和表格、企业搜索、商业智能和与第三方应用的连接性支持）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2</w:t>
            </w:r>
            <w:r>
              <w:rPr>
                <w:rFonts w:ascii="仿宋_GB2312" w:hAnsi="仿宋" w:eastAsia="仿宋_GB2312" w:cs="仿宋"/>
                <w:sz w:val="24"/>
                <w:szCs w:val="24"/>
              </w:rPr>
              <w:t>3</w:t>
            </w:r>
            <w:r>
              <w:rPr>
                <w:rFonts w:hint="eastAsia" w:ascii="仿宋_GB2312" w:hAnsi="仿宋" w:eastAsia="仿宋_GB2312" w:cs="仿宋"/>
                <w:sz w:val="24"/>
                <w:szCs w:val="24"/>
              </w:rPr>
              <w:t>.提供丰富的扩展和开发能力</w:t>
            </w:r>
          </w:p>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IT人员和高级用户可以通过VBA技术、XML技术、VS.net开发定制，使其更符合企业办公的特殊需求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2</w:t>
            </w:r>
            <w:r>
              <w:rPr>
                <w:rFonts w:ascii="仿宋_GB2312" w:hAnsi="仿宋" w:eastAsia="仿宋_GB2312" w:cs="仿宋"/>
                <w:sz w:val="24"/>
                <w:szCs w:val="24"/>
              </w:rPr>
              <w:t>4</w:t>
            </w:r>
            <w:r>
              <w:rPr>
                <w:rFonts w:hint="eastAsia" w:ascii="仿宋_GB2312" w:hAnsi="仿宋" w:eastAsia="仿宋_GB2312" w:cs="仿宋"/>
                <w:sz w:val="24"/>
                <w:szCs w:val="24"/>
              </w:rPr>
              <w:t>.提供跨越手机、电脑、浏览器的使用新体验</w:t>
            </w:r>
          </w:p>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1）在云、数据中心和混合环境中提供最佳办公体验</w:t>
            </w:r>
          </w:p>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2）包括统一沟通、企业协作、商业智能、企业项目管理在内的多种解决方案供选择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restart"/>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r>
              <w:rPr>
                <w:rFonts w:hint="eastAsia" w:ascii="仿宋_GB2312" w:hAnsi="仿宋" w:eastAsia="仿宋_GB2312" w:cs="仿宋"/>
                <w:sz w:val="24"/>
                <w:szCs w:val="24"/>
              </w:rPr>
              <w:t>重点技术服务参数要求</w:t>
            </w:r>
          </w:p>
        </w:tc>
        <w:tc>
          <w:tcPr>
            <w:tcW w:w="7245" w:type="dxa"/>
            <w:vAlign w:val="center"/>
          </w:tcPr>
          <w:p>
            <w:pPr>
              <w:keepNext w:val="0"/>
              <w:keepLines w:val="0"/>
              <w:pageBreakBefore w:val="0"/>
              <w:widowControl/>
              <w:numPr>
                <w:ilvl w:val="0"/>
                <w:numId w:val="11"/>
              </w:numPr>
              <w:kinsoku/>
              <w:overflowPunct/>
              <w:topLinePunct w:val="0"/>
              <w:bidi w:val="0"/>
              <w:adjustRightInd/>
              <w:snapToGrid/>
              <w:ind w:firstLine="0" w:firstLineChars="0"/>
              <w:textAlignment w:val="auto"/>
              <w:rPr>
                <w:rFonts w:hint="eastAsia" w:ascii="仿宋_GB2312" w:hAnsi="仿宋" w:eastAsia="仿宋_GB2312" w:cs="仿宋"/>
                <w:sz w:val="24"/>
                <w:szCs w:val="24"/>
              </w:rPr>
            </w:pPr>
            <w:r>
              <w:rPr>
                <w:rFonts w:hint="eastAsia" w:ascii="仿宋_GB2312" w:hAnsi="仿宋" w:eastAsia="仿宋_GB2312" w:cs="仿宋"/>
                <w:sz w:val="24"/>
                <w:szCs w:val="24"/>
              </w:rPr>
              <w:t>提供办公软件功能的检测报告</w:t>
            </w:r>
          </w:p>
          <w:p>
            <w:pPr>
              <w:keepNext w:val="0"/>
              <w:keepLines w:val="0"/>
              <w:pageBreakBefore w:val="0"/>
              <w:widowControl/>
              <w:numPr>
                <w:ilvl w:val="0"/>
                <w:numId w:val="0"/>
              </w:numPr>
              <w:kinsoku/>
              <w:overflowPunct/>
              <w:topLinePunct w:val="0"/>
              <w:bidi w:val="0"/>
              <w:adjustRightInd/>
              <w:snapToGrid/>
              <w:textAlignment w:val="auto"/>
              <w:rPr>
                <w:rFonts w:ascii="仿宋_GB2312" w:hAnsi="仿宋" w:eastAsia="仿宋_GB2312" w:cs="仿宋"/>
                <w:sz w:val="24"/>
                <w:szCs w:val="24"/>
              </w:rPr>
            </w:pPr>
            <w:r>
              <w:rPr>
                <w:rFonts w:hint="eastAsia" w:ascii="仿宋_GB2312" w:hAnsi="仿宋" w:eastAsia="仿宋_GB2312" w:cs="仿宋"/>
                <w:b/>
                <w:bCs/>
                <w:sz w:val="24"/>
                <w:szCs w:val="24"/>
                <w:lang w:val="en-US" w:eastAsia="zh-CN"/>
              </w:rPr>
              <w:t>注：提供</w:t>
            </w:r>
            <w:r>
              <w:rPr>
                <w:rFonts w:hint="eastAsia" w:ascii="仿宋_GB2312" w:hAnsi="仿宋" w:eastAsia="仿宋_GB2312" w:cs="仿宋"/>
                <w:b/>
                <w:bCs/>
                <w:sz w:val="24"/>
                <w:szCs w:val="24"/>
              </w:rPr>
              <w:t>复印件加盖原厂商公章（</w:t>
            </w:r>
            <w:r>
              <w:rPr>
                <w:rFonts w:hint="eastAsia" w:ascii="仿宋_GB2312" w:hAnsi="仿宋" w:eastAsia="仿宋_GB2312" w:cs="仿宋"/>
                <w:b/>
                <w:bCs/>
                <w:sz w:val="24"/>
                <w:szCs w:val="24"/>
                <w:lang w:val="en-US" w:eastAsia="zh-CN"/>
              </w:rPr>
              <w:t>原件扫描件</w:t>
            </w:r>
            <w:r>
              <w:rPr>
                <w:rFonts w:hint="eastAsia" w:ascii="仿宋_GB2312" w:hAnsi="仿宋" w:eastAsia="仿宋_GB2312" w:cs="仿宋"/>
                <w:b/>
                <w:bCs/>
                <w:sz w:val="24"/>
                <w:szCs w:val="24"/>
              </w:rPr>
              <w:t>需附在</w:t>
            </w:r>
            <w:r>
              <w:rPr>
                <w:rFonts w:hint="eastAsia" w:ascii="仿宋_GB2312" w:hAnsi="仿宋" w:eastAsia="仿宋_GB2312" w:cs="仿宋"/>
                <w:b/>
                <w:bCs/>
                <w:sz w:val="24"/>
                <w:szCs w:val="24"/>
                <w:lang w:val="en-US" w:eastAsia="zh-CN"/>
              </w:rPr>
              <w:t>响应</w:t>
            </w:r>
            <w:r>
              <w:rPr>
                <w:rFonts w:hint="eastAsia" w:ascii="仿宋_GB2312" w:hAnsi="仿宋" w:eastAsia="仿宋_GB2312" w:cs="仿宋"/>
                <w:b/>
                <w:bCs/>
                <w:sz w:val="24"/>
                <w:szCs w:val="24"/>
              </w:rPr>
              <w:t>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numPr>
                <w:ilvl w:val="0"/>
                <w:numId w:val="11"/>
              </w:numPr>
              <w:kinsoku/>
              <w:overflowPunct/>
              <w:topLinePunct w:val="0"/>
              <w:bidi w:val="0"/>
              <w:adjustRightInd/>
              <w:snapToGrid/>
              <w:ind w:left="0" w:leftChars="0" w:firstLine="0" w:firstLineChars="0"/>
              <w:textAlignment w:val="auto"/>
              <w:rPr>
                <w:rFonts w:hint="eastAsia" w:ascii="仿宋_GB2312" w:hAnsi="仿宋" w:eastAsia="仿宋_GB2312" w:cs="仿宋"/>
                <w:sz w:val="24"/>
                <w:szCs w:val="24"/>
                <w:highlight w:val="none"/>
              </w:rPr>
            </w:pPr>
            <w:r>
              <w:rPr>
                <w:rFonts w:hint="eastAsia" w:ascii="仿宋_GB2312" w:hAnsi="仿宋" w:eastAsia="仿宋_GB2312" w:cs="仿宋"/>
                <w:sz w:val="24"/>
                <w:szCs w:val="24"/>
                <w:highlight w:val="none"/>
              </w:rPr>
              <w:t>提供非进口报告</w:t>
            </w:r>
          </w:p>
          <w:p>
            <w:pPr>
              <w:keepNext w:val="0"/>
              <w:keepLines w:val="0"/>
              <w:pageBreakBefore w:val="0"/>
              <w:widowControl/>
              <w:numPr>
                <w:ilvl w:val="0"/>
                <w:numId w:val="0"/>
              </w:numPr>
              <w:kinsoku/>
              <w:overflowPunct/>
              <w:topLinePunct w:val="0"/>
              <w:bidi w:val="0"/>
              <w:adjustRightInd/>
              <w:snapToGrid/>
              <w:ind w:leftChars="0"/>
              <w:textAlignment w:val="auto"/>
              <w:rPr>
                <w:rFonts w:ascii="仿宋_GB2312" w:hAnsi="仿宋" w:eastAsia="仿宋_GB2312" w:cs="仿宋"/>
                <w:sz w:val="24"/>
                <w:szCs w:val="24"/>
              </w:rPr>
            </w:pPr>
            <w:r>
              <w:rPr>
                <w:rFonts w:hint="eastAsia" w:ascii="仿宋_GB2312" w:hAnsi="仿宋" w:eastAsia="仿宋_GB2312" w:cs="仿宋"/>
                <w:b/>
                <w:bCs/>
                <w:sz w:val="24"/>
                <w:szCs w:val="24"/>
                <w:lang w:val="en-US" w:eastAsia="zh-CN"/>
              </w:rPr>
              <w:t>注：提供</w:t>
            </w:r>
            <w:r>
              <w:rPr>
                <w:rFonts w:hint="eastAsia" w:ascii="仿宋_GB2312" w:hAnsi="仿宋" w:eastAsia="仿宋_GB2312" w:cs="仿宋"/>
                <w:b/>
                <w:bCs/>
                <w:sz w:val="24"/>
                <w:szCs w:val="24"/>
              </w:rPr>
              <w:t>复印件加盖原厂商公章（</w:t>
            </w:r>
            <w:r>
              <w:rPr>
                <w:rFonts w:hint="eastAsia" w:ascii="仿宋_GB2312" w:hAnsi="仿宋" w:eastAsia="仿宋_GB2312" w:cs="仿宋"/>
                <w:b/>
                <w:bCs/>
                <w:sz w:val="24"/>
                <w:szCs w:val="24"/>
                <w:lang w:val="en-US" w:eastAsia="zh-CN"/>
              </w:rPr>
              <w:t>原件扫描件</w:t>
            </w:r>
            <w:r>
              <w:rPr>
                <w:rFonts w:hint="eastAsia" w:ascii="仿宋_GB2312" w:hAnsi="仿宋" w:eastAsia="仿宋_GB2312" w:cs="仿宋"/>
                <w:b/>
                <w:bCs/>
                <w:sz w:val="24"/>
                <w:szCs w:val="24"/>
              </w:rPr>
              <w:t>需附在</w:t>
            </w:r>
            <w:r>
              <w:rPr>
                <w:rFonts w:hint="eastAsia" w:ascii="仿宋_GB2312" w:hAnsi="仿宋" w:eastAsia="仿宋_GB2312" w:cs="仿宋"/>
                <w:b/>
                <w:bCs/>
                <w:sz w:val="24"/>
                <w:szCs w:val="24"/>
                <w:lang w:val="en-US" w:eastAsia="zh-CN"/>
              </w:rPr>
              <w:t>响应</w:t>
            </w:r>
            <w:r>
              <w:rPr>
                <w:rFonts w:hint="eastAsia" w:ascii="仿宋_GB2312" w:hAnsi="仿宋" w:eastAsia="仿宋_GB2312" w:cs="仿宋"/>
                <w:b/>
                <w:bCs/>
                <w:sz w:val="24"/>
                <w:szCs w:val="24"/>
              </w:rPr>
              <w:t>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restart"/>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服务要求</w:t>
            </w: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2</w:t>
            </w:r>
            <w:r>
              <w:rPr>
                <w:rFonts w:ascii="仿宋_GB2312" w:hAnsi="仿宋" w:eastAsia="仿宋_GB2312" w:cs="仿宋"/>
                <w:sz w:val="24"/>
                <w:szCs w:val="24"/>
                <w:highlight w:val="none"/>
              </w:rPr>
              <w:t>7</w:t>
            </w:r>
            <w:r>
              <w:rPr>
                <w:rFonts w:hint="eastAsia" w:ascii="仿宋_GB2312" w:hAnsi="仿宋" w:eastAsia="仿宋_GB2312" w:cs="仿宋"/>
                <w:sz w:val="24"/>
                <w:szCs w:val="24"/>
                <w:highlight w:val="none"/>
              </w:rPr>
              <w:t>.服务期限：</w:t>
            </w:r>
            <w:r>
              <w:rPr>
                <w:rFonts w:ascii="仿宋_GB2312" w:hAnsi="仿宋" w:eastAsia="仿宋_GB2312" w:cs="仿宋"/>
                <w:sz w:val="24"/>
                <w:szCs w:val="24"/>
                <w:highlight w:val="none"/>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ascii="仿宋_GB2312" w:hAnsi="仿宋" w:eastAsia="仿宋_GB2312" w:cs="仿宋"/>
                <w:sz w:val="24"/>
                <w:szCs w:val="24"/>
              </w:rPr>
              <w:t>28</w:t>
            </w:r>
            <w:r>
              <w:rPr>
                <w:rFonts w:hint="eastAsia" w:ascii="仿宋_GB2312" w:hAnsi="仿宋" w:eastAsia="仿宋_GB2312" w:cs="仿宋"/>
                <w:sz w:val="24"/>
                <w:szCs w:val="24"/>
              </w:rPr>
              <w:t>.提供软件补丁更新和技术支持（包括电话支持和在线支持）</w:t>
            </w:r>
          </w:p>
        </w:tc>
      </w:tr>
      <w:bookmarkEnd w:id="1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04" w:type="dxa"/>
            <w:vMerge w:val="restart"/>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r>
              <w:rPr>
                <w:rFonts w:ascii="仿宋_GB2312" w:hAnsi="仿宋" w:eastAsia="仿宋_GB2312" w:cs="仿宋"/>
                <w:sz w:val="24"/>
                <w:szCs w:val="24"/>
              </w:rPr>
              <w:t>3</w:t>
            </w:r>
          </w:p>
        </w:tc>
        <w:tc>
          <w:tcPr>
            <w:tcW w:w="1276" w:type="dxa"/>
            <w:vMerge w:val="restart"/>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r>
              <w:rPr>
                <w:rFonts w:hint="eastAsia" w:ascii="仿宋_GB2312" w:hAnsi="仿宋" w:eastAsia="仿宋_GB2312" w:cs="仿宋"/>
                <w:sz w:val="24"/>
                <w:szCs w:val="24"/>
              </w:rPr>
              <w:t>软件资源与服务管理平台及售后服务</w:t>
            </w:r>
          </w:p>
        </w:tc>
        <w:tc>
          <w:tcPr>
            <w:tcW w:w="992" w:type="dxa"/>
            <w:vAlign w:val="center"/>
          </w:tcPr>
          <w:p>
            <w:pPr>
              <w:keepNext w:val="0"/>
              <w:keepLines w:val="0"/>
              <w:pageBreakBefore w:val="0"/>
              <w:widowControl/>
              <w:kinsoku/>
              <w:overflowPunct/>
              <w:topLinePunct w:val="0"/>
              <w:bidi w:val="0"/>
              <w:adjustRightInd/>
              <w:snapToGrid/>
              <w:ind w:right="-77" w:rightChars="-32" w:firstLine="0" w:firstLineChars="0"/>
              <w:jc w:val="center"/>
              <w:textAlignment w:val="auto"/>
              <w:rPr>
                <w:rFonts w:ascii="仿宋_GB2312" w:hAnsi="仿宋" w:eastAsia="仿宋_GB2312" w:cs="仿宋"/>
                <w:sz w:val="24"/>
                <w:szCs w:val="24"/>
              </w:rPr>
            </w:pPr>
            <w:r>
              <w:rPr>
                <w:rFonts w:hint="eastAsia" w:ascii="仿宋_GB2312" w:hAnsi="仿宋" w:eastAsia="仿宋_GB2312" w:cs="仿宋"/>
                <w:sz w:val="24"/>
                <w:szCs w:val="24"/>
              </w:rPr>
              <w:t>基本要求</w:t>
            </w:r>
          </w:p>
        </w:tc>
        <w:tc>
          <w:tcPr>
            <w:tcW w:w="7245" w:type="dxa"/>
            <w:vAlign w:val="center"/>
          </w:tcPr>
          <w:p>
            <w:pPr>
              <w:pStyle w:val="31"/>
              <w:keepNext w:val="0"/>
              <w:keepLines w:val="0"/>
              <w:pageBreakBefore w:val="0"/>
              <w:widowControl/>
              <w:kinsoku/>
              <w:overflowPunct/>
              <w:topLinePunct w:val="0"/>
              <w:bidi w:val="0"/>
              <w:adjustRightInd/>
              <w:snapToGrid/>
              <w:spacing w:before="30" w:line="250" w:lineRule="exact"/>
              <w:ind w:firstLine="0" w:firstLineChars="0"/>
              <w:jc w:val="both"/>
              <w:textAlignment w:val="auto"/>
              <w:rPr>
                <w:rFonts w:ascii="仿宋_GB2312" w:hAnsi="仿宋" w:eastAsia="仿宋_GB2312" w:cs="仿宋"/>
                <w:kern w:val="2"/>
                <w:sz w:val="24"/>
                <w:szCs w:val="24"/>
                <w:lang w:val="en-US" w:bidi="ar-SA"/>
              </w:rPr>
            </w:pPr>
            <w:r>
              <w:rPr>
                <w:rFonts w:hint="eastAsia" w:ascii="仿宋_GB2312" w:hAnsi="仿宋" w:eastAsia="仿宋_GB2312" w:cs="仿宋"/>
                <w:kern w:val="2"/>
                <w:sz w:val="24"/>
                <w:szCs w:val="24"/>
                <w:lang w:val="en-US" w:bidi="ar-SA"/>
              </w:rPr>
              <w:t>使用范围：满足菏泽职业学院授权范围内师生及固定资产合法使用。</w:t>
            </w:r>
          </w:p>
          <w:p>
            <w:pPr>
              <w:keepNext w:val="0"/>
              <w:keepLines w:val="0"/>
              <w:pageBreakBefore w:val="0"/>
              <w:widowControl/>
              <w:kinsoku/>
              <w:wordWrap w:val="0"/>
              <w:overflowPunct/>
              <w:topLinePunct w:val="0"/>
              <w:autoSpaceDE w:val="0"/>
              <w:autoSpaceDN w:val="0"/>
              <w:bidi w:val="0"/>
              <w:adjustRightInd/>
              <w:snapToGrid/>
              <w:spacing w:line="300" w:lineRule="auto"/>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部署方式</w:t>
            </w:r>
            <w:r>
              <w:rPr>
                <w:rFonts w:ascii="仿宋_GB2312" w:hAnsi="仿宋" w:eastAsia="仿宋_GB2312" w:cs="仿宋"/>
                <w:sz w:val="24"/>
                <w:szCs w:val="24"/>
              </w:rPr>
              <w:t>：</w:t>
            </w:r>
            <w:r>
              <w:rPr>
                <w:rFonts w:hint="eastAsia" w:ascii="仿宋_GB2312" w:hAnsi="仿宋" w:eastAsia="仿宋_GB2312" w:cs="仿宋"/>
                <w:sz w:val="24"/>
                <w:szCs w:val="24"/>
              </w:rPr>
              <w:t>服务系统应当支持部署在学校，且支持云平台部署。</w:t>
            </w:r>
          </w:p>
          <w:p>
            <w:pPr>
              <w:keepNext w:val="0"/>
              <w:keepLines w:val="0"/>
              <w:pageBreakBefore w:val="0"/>
              <w:widowControl/>
              <w:kinsoku/>
              <w:wordWrap w:val="0"/>
              <w:overflowPunct/>
              <w:topLinePunct w:val="0"/>
              <w:autoSpaceDE w:val="0"/>
              <w:autoSpaceDN w:val="0"/>
              <w:bidi w:val="0"/>
              <w:adjustRightInd/>
              <w:snapToGrid/>
              <w:spacing w:line="300" w:lineRule="auto"/>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基本功能：平台需实现对校园软件正版化协议的软件在本单位范围内的软件下载、批量分发、软件升级、批量激活、数量统计、驱动管理等全面管理</w:t>
            </w:r>
          </w:p>
          <w:p>
            <w:pPr>
              <w:pStyle w:val="42"/>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kern w:val="2"/>
                <w:sz w:val="24"/>
                <w:szCs w:val="24"/>
              </w:rPr>
            </w:pPr>
            <w:r>
              <w:rPr>
                <w:rFonts w:hint="eastAsia" w:ascii="仿宋_GB2312" w:hAnsi="仿宋" w:eastAsia="仿宋_GB2312" w:cs="仿宋"/>
                <w:kern w:val="2"/>
                <w:sz w:val="24"/>
                <w:szCs w:val="24"/>
              </w:rPr>
              <w:t>更新及升级：</w:t>
            </w:r>
            <w:r>
              <w:rPr>
                <w:rFonts w:ascii="仿宋_GB2312" w:hAnsi="仿宋" w:eastAsia="仿宋_GB2312" w:cs="仿宋"/>
                <w:kern w:val="2"/>
                <w:sz w:val="24"/>
                <w:szCs w:val="24"/>
              </w:rPr>
              <w:t>合约有效期内，软件如有升级版本，授权对升级版本同样有效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Align w:val="center"/>
          </w:tcPr>
          <w:p>
            <w:pPr>
              <w:keepNext w:val="0"/>
              <w:keepLines w:val="0"/>
              <w:pageBreakBefore w:val="0"/>
              <w:widowControl/>
              <w:kinsoku/>
              <w:overflowPunct/>
              <w:topLinePunct w:val="0"/>
              <w:bidi w:val="0"/>
              <w:adjustRightInd/>
              <w:snapToGrid/>
              <w:ind w:right="-77" w:rightChars="-32" w:firstLine="0" w:firstLineChars="0"/>
              <w:jc w:val="center"/>
              <w:textAlignment w:val="auto"/>
              <w:rPr>
                <w:rFonts w:ascii="仿宋_GB2312" w:hAnsi="仿宋" w:eastAsia="仿宋_GB2312" w:cs="仿宋"/>
                <w:sz w:val="24"/>
                <w:szCs w:val="24"/>
              </w:rPr>
            </w:pPr>
            <w:r>
              <w:rPr>
                <w:rFonts w:hint="eastAsia" w:ascii="仿宋_GB2312" w:hAnsi="仿宋" w:eastAsia="仿宋_GB2312" w:cs="仿宋"/>
                <w:sz w:val="24"/>
                <w:szCs w:val="24"/>
              </w:rPr>
              <w:t>功能要求</w:t>
            </w:r>
          </w:p>
        </w:tc>
        <w:tc>
          <w:tcPr>
            <w:tcW w:w="7245" w:type="dxa"/>
            <w:vAlign w:val="center"/>
          </w:tcPr>
          <w:p>
            <w:pPr>
              <w:pStyle w:val="3"/>
              <w:keepNext w:val="0"/>
              <w:keepLines w:val="0"/>
              <w:pageBreakBefore w:val="0"/>
              <w:widowControl/>
              <w:numPr>
                <w:ilvl w:val="0"/>
                <w:numId w:val="12"/>
              </w:numPr>
              <w:kinsoku/>
              <w:wordWrap/>
              <w:overflowPunct/>
              <w:topLinePunct w:val="0"/>
              <w:autoSpaceDE w:val="0"/>
              <w:autoSpaceDN w:val="0"/>
              <w:bidi w:val="0"/>
              <w:adjustRightInd/>
              <w:snapToGrid/>
              <w:spacing w:after="0" w:line="240" w:lineRule="auto"/>
              <w:ind w:left="0" w:right="0" w:firstLine="0" w:firstLineChars="0"/>
              <w:jc w:val="both"/>
              <w:textAlignment w:val="auto"/>
              <w:rPr>
                <w:rFonts w:ascii="仿宋_GB2312" w:hAnsi="仿宋" w:eastAsia="仿宋_GB2312" w:cs="仿宋"/>
                <w:b w:val="0"/>
                <w:bCs w:val="0"/>
                <w:kern w:val="2"/>
                <w:sz w:val="24"/>
                <w:szCs w:val="24"/>
                <w:lang w:val="en-US"/>
              </w:rPr>
            </w:pPr>
            <w:r>
              <w:rPr>
                <w:rFonts w:hint="eastAsia" w:ascii="仿宋_GB2312" w:hAnsi="仿宋" w:eastAsia="仿宋_GB2312" w:cs="仿宋"/>
                <w:b w:val="0"/>
                <w:bCs w:val="0"/>
                <w:kern w:val="2"/>
                <w:sz w:val="24"/>
                <w:szCs w:val="24"/>
                <w:lang w:val="en-US"/>
              </w:rPr>
              <w:t>系统架构和部署</w:t>
            </w:r>
          </w:p>
          <w:p>
            <w:pPr>
              <w:pStyle w:val="4"/>
              <w:keepNext w:val="0"/>
              <w:keepLines w:val="0"/>
              <w:pageBreakBefore w:val="0"/>
              <w:widowControl/>
              <w:numPr>
                <w:ilvl w:val="0"/>
                <w:numId w:val="13"/>
              </w:numPr>
              <w:kinsoku/>
              <w:wordWrap/>
              <w:overflowPunct/>
              <w:topLinePunct w:val="0"/>
              <w:autoSpaceDE w:val="0"/>
              <w:autoSpaceDN w:val="0"/>
              <w:bidi w:val="0"/>
              <w:adjustRightInd/>
              <w:snapToGrid/>
              <w:spacing w:after="0" w:line="240" w:lineRule="auto"/>
              <w:ind w:left="0" w:right="0" w:firstLine="0" w:firstLineChars="0"/>
              <w:textAlignment w:val="auto"/>
              <w:rPr>
                <w:rFonts w:ascii="仿宋_GB2312" w:hAnsi="仿宋" w:eastAsia="仿宋_GB2312" w:cs="仿宋"/>
                <w:b w:val="0"/>
                <w:bCs w:val="0"/>
                <w:sz w:val="24"/>
                <w:szCs w:val="24"/>
              </w:rPr>
            </w:pPr>
            <w:r>
              <w:rPr>
                <w:rFonts w:hint="eastAsia" w:ascii="仿宋_GB2312" w:hAnsi="仿宋" w:eastAsia="仿宋_GB2312" w:cs="仿宋"/>
                <w:b w:val="0"/>
                <w:bCs w:val="0"/>
                <w:sz w:val="24"/>
                <w:szCs w:val="24"/>
              </w:rPr>
              <w:t>为了提高服务器资源的利用率和客户系统的稳定性，本系统采购微服务架构，在该架构中，单节点故障不会对整个系统的运行产生影响。并且本系统具备单点故障的自动恢复功能。</w:t>
            </w:r>
          </w:p>
          <w:p>
            <w:pPr>
              <w:pStyle w:val="4"/>
              <w:keepNext w:val="0"/>
              <w:keepLines w:val="0"/>
              <w:pageBreakBefore w:val="0"/>
              <w:widowControl/>
              <w:numPr>
                <w:ilvl w:val="0"/>
                <w:numId w:val="13"/>
              </w:numPr>
              <w:kinsoku/>
              <w:wordWrap/>
              <w:overflowPunct/>
              <w:topLinePunct w:val="0"/>
              <w:autoSpaceDE w:val="0"/>
              <w:autoSpaceDN w:val="0"/>
              <w:bidi w:val="0"/>
              <w:adjustRightInd/>
              <w:snapToGrid/>
              <w:spacing w:after="0" w:line="240" w:lineRule="auto"/>
              <w:ind w:left="0" w:right="0" w:firstLine="0" w:firstLineChars="0"/>
              <w:textAlignment w:val="auto"/>
              <w:rPr>
                <w:rFonts w:ascii="仿宋_GB2312" w:hAnsi="仿宋" w:eastAsia="仿宋_GB2312" w:cs="仿宋"/>
                <w:b w:val="0"/>
                <w:bCs w:val="0"/>
                <w:sz w:val="24"/>
                <w:szCs w:val="24"/>
              </w:rPr>
            </w:pPr>
            <w:r>
              <w:rPr>
                <w:rFonts w:hint="eastAsia" w:ascii="仿宋_GB2312" w:hAnsi="仿宋" w:eastAsia="仿宋_GB2312" w:cs="仿宋"/>
                <w:b w:val="0"/>
                <w:bCs w:val="0"/>
                <w:sz w:val="24"/>
                <w:szCs w:val="24"/>
              </w:rPr>
              <w:t>系统提供完全的对外接口，客户工程师可以通过这套接口实现包括客户端和网站、管理后台的自行完全的系统开发，例如站群。</w:t>
            </w:r>
          </w:p>
          <w:p>
            <w:pPr>
              <w:pStyle w:val="4"/>
              <w:keepNext w:val="0"/>
              <w:keepLines w:val="0"/>
              <w:pageBreakBefore w:val="0"/>
              <w:widowControl/>
              <w:numPr>
                <w:ilvl w:val="0"/>
                <w:numId w:val="13"/>
              </w:numPr>
              <w:kinsoku/>
              <w:wordWrap/>
              <w:overflowPunct/>
              <w:topLinePunct w:val="0"/>
              <w:autoSpaceDE w:val="0"/>
              <w:autoSpaceDN w:val="0"/>
              <w:bidi w:val="0"/>
              <w:adjustRightInd/>
              <w:snapToGrid/>
              <w:spacing w:after="0" w:line="240" w:lineRule="auto"/>
              <w:ind w:left="0" w:right="0" w:firstLine="0" w:firstLineChars="0"/>
              <w:textAlignment w:val="auto"/>
              <w:rPr>
                <w:rFonts w:ascii="仿宋_GB2312" w:hAnsi="仿宋" w:eastAsia="仿宋_GB2312" w:cs="仿宋"/>
                <w:b w:val="0"/>
                <w:bCs w:val="0"/>
                <w:sz w:val="24"/>
                <w:szCs w:val="24"/>
              </w:rPr>
            </w:pPr>
            <w:r>
              <w:rPr>
                <w:rFonts w:hint="eastAsia" w:ascii="仿宋_GB2312" w:hAnsi="仿宋" w:eastAsia="仿宋_GB2312" w:cs="仿宋"/>
                <w:b w:val="0"/>
                <w:bCs w:val="0"/>
                <w:sz w:val="24"/>
                <w:szCs w:val="24"/>
              </w:rPr>
              <w:t>架构支持服务的回滚功能，一旦新发布版本发生BUG，管理员可以在管理后台实现客户系统版本的快速回滚。</w:t>
            </w:r>
          </w:p>
          <w:p>
            <w:pPr>
              <w:pStyle w:val="4"/>
              <w:keepNext w:val="0"/>
              <w:keepLines w:val="0"/>
              <w:pageBreakBefore w:val="0"/>
              <w:widowControl/>
              <w:numPr>
                <w:ilvl w:val="0"/>
                <w:numId w:val="13"/>
              </w:numPr>
              <w:kinsoku/>
              <w:wordWrap/>
              <w:overflowPunct/>
              <w:topLinePunct w:val="0"/>
              <w:autoSpaceDE w:val="0"/>
              <w:autoSpaceDN w:val="0"/>
              <w:bidi w:val="0"/>
              <w:adjustRightInd/>
              <w:snapToGrid/>
              <w:spacing w:after="0" w:line="240" w:lineRule="auto"/>
              <w:ind w:left="0" w:right="0" w:firstLine="0" w:firstLineChars="0"/>
              <w:textAlignment w:val="auto"/>
              <w:rPr>
                <w:rFonts w:ascii="仿宋_GB2312" w:hAnsi="仿宋" w:eastAsia="仿宋_GB2312" w:cs="仿宋"/>
                <w:b w:val="0"/>
                <w:bCs w:val="0"/>
                <w:sz w:val="24"/>
                <w:szCs w:val="24"/>
              </w:rPr>
            </w:pPr>
            <w:r>
              <w:rPr>
                <w:rFonts w:hint="eastAsia" w:ascii="仿宋_GB2312" w:hAnsi="仿宋" w:eastAsia="仿宋_GB2312" w:cs="仿宋"/>
                <w:b w:val="0"/>
                <w:bCs w:val="0"/>
                <w:sz w:val="24"/>
                <w:szCs w:val="24"/>
              </w:rPr>
              <w:t>数据库采用主从架构，一旦一台服务器的数据库发生故障的时候，不会影响整个业务的正常运行。</w:t>
            </w:r>
          </w:p>
          <w:p>
            <w:pPr>
              <w:pStyle w:val="4"/>
              <w:keepNext w:val="0"/>
              <w:keepLines w:val="0"/>
              <w:pageBreakBefore w:val="0"/>
              <w:widowControl/>
              <w:numPr>
                <w:ilvl w:val="0"/>
                <w:numId w:val="13"/>
              </w:numPr>
              <w:kinsoku/>
              <w:wordWrap/>
              <w:overflowPunct/>
              <w:topLinePunct w:val="0"/>
              <w:autoSpaceDE w:val="0"/>
              <w:autoSpaceDN w:val="0"/>
              <w:bidi w:val="0"/>
              <w:adjustRightInd/>
              <w:snapToGrid/>
              <w:spacing w:after="0" w:line="240" w:lineRule="auto"/>
              <w:ind w:left="0" w:right="0" w:firstLine="0" w:firstLineChars="0"/>
              <w:textAlignment w:val="auto"/>
              <w:rPr>
                <w:rFonts w:ascii="仿宋_GB2312" w:hAnsi="仿宋" w:eastAsia="仿宋_GB2312" w:cs="仿宋"/>
                <w:b w:val="0"/>
                <w:bCs w:val="0"/>
                <w:sz w:val="24"/>
                <w:szCs w:val="24"/>
              </w:rPr>
            </w:pPr>
            <w:r>
              <w:rPr>
                <w:rFonts w:hint="eastAsia" w:ascii="仿宋_GB2312" w:hAnsi="仿宋" w:eastAsia="仿宋_GB2312" w:cs="仿宋"/>
                <w:b w:val="0"/>
                <w:bCs w:val="0"/>
                <w:sz w:val="24"/>
                <w:szCs w:val="24"/>
              </w:rPr>
              <w:t>系统采用单域名架构，支持IP直接访问。</w:t>
            </w:r>
          </w:p>
          <w:p>
            <w:pPr>
              <w:pStyle w:val="3"/>
              <w:keepNext w:val="0"/>
              <w:keepLines w:val="0"/>
              <w:pageBreakBefore w:val="0"/>
              <w:widowControl/>
              <w:numPr>
                <w:ilvl w:val="0"/>
                <w:numId w:val="12"/>
              </w:numPr>
              <w:kinsoku/>
              <w:wordWrap/>
              <w:overflowPunct/>
              <w:topLinePunct w:val="0"/>
              <w:autoSpaceDE w:val="0"/>
              <w:autoSpaceDN w:val="0"/>
              <w:bidi w:val="0"/>
              <w:adjustRightInd/>
              <w:snapToGrid/>
              <w:spacing w:after="0" w:line="240" w:lineRule="auto"/>
              <w:ind w:left="0" w:right="0" w:firstLine="0" w:firstLineChars="0"/>
              <w:jc w:val="both"/>
              <w:textAlignment w:val="auto"/>
              <w:rPr>
                <w:rFonts w:ascii="仿宋_GB2312" w:hAnsi="仿宋" w:eastAsia="仿宋_GB2312" w:cs="仿宋"/>
                <w:b w:val="0"/>
                <w:bCs w:val="0"/>
                <w:kern w:val="2"/>
                <w:sz w:val="24"/>
                <w:szCs w:val="24"/>
                <w:lang w:val="en-US"/>
              </w:rPr>
            </w:pPr>
            <w:r>
              <w:rPr>
                <w:rFonts w:hint="eastAsia" w:ascii="仿宋_GB2312" w:hAnsi="仿宋" w:eastAsia="仿宋_GB2312" w:cs="仿宋"/>
                <w:b w:val="0"/>
                <w:bCs w:val="0"/>
                <w:kern w:val="2"/>
                <w:sz w:val="24"/>
                <w:szCs w:val="24"/>
                <w:lang w:val="en-US"/>
              </w:rPr>
              <w:t>用户登录和注册功能</w:t>
            </w:r>
          </w:p>
          <w:p>
            <w:pPr>
              <w:pStyle w:val="4"/>
              <w:keepNext w:val="0"/>
              <w:keepLines w:val="0"/>
              <w:pageBreakBefore w:val="0"/>
              <w:widowControl/>
              <w:numPr>
                <w:ilvl w:val="0"/>
                <w:numId w:val="14"/>
              </w:numPr>
              <w:kinsoku/>
              <w:wordWrap/>
              <w:overflowPunct/>
              <w:topLinePunct w:val="0"/>
              <w:autoSpaceDE w:val="0"/>
              <w:autoSpaceDN w:val="0"/>
              <w:bidi w:val="0"/>
              <w:adjustRightInd/>
              <w:snapToGrid/>
              <w:spacing w:after="0" w:line="240" w:lineRule="auto"/>
              <w:ind w:left="0" w:right="0" w:firstLine="0" w:firstLineChars="0"/>
              <w:textAlignment w:val="auto"/>
              <w:rPr>
                <w:rFonts w:ascii="仿宋_GB2312" w:hAnsi="仿宋" w:eastAsia="仿宋_GB2312" w:cs="仿宋"/>
                <w:b w:val="0"/>
                <w:bCs w:val="0"/>
                <w:sz w:val="24"/>
                <w:szCs w:val="24"/>
              </w:rPr>
            </w:pPr>
            <w:r>
              <w:rPr>
                <w:rFonts w:hint="eastAsia" w:ascii="仿宋_GB2312" w:hAnsi="仿宋" w:eastAsia="仿宋_GB2312" w:cs="仿宋"/>
                <w:b w:val="0"/>
                <w:bCs w:val="0"/>
                <w:sz w:val="24"/>
                <w:szCs w:val="24"/>
              </w:rPr>
              <w:t>具备独立的用户管理系统。用户可以通过注册、管理后台添加、邮箱验证等方式添加到系统。</w:t>
            </w:r>
          </w:p>
          <w:p>
            <w:pPr>
              <w:pStyle w:val="4"/>
              <w:keepNext w:val="0"/>
              <w:keepLines w:val="0"/>
              <w:pageBreakBefore w:val="0"/>
              <w:widowControl/>
              <w:numPr>
                <w:ilvl w:val="0"/>
                <w:numId w:val="14"/>
              </w:numPr>
              <w:kinsoku/>
              <w:wordWrap/>
              <w:overflowPunct/>
              <w:topLinePunct w:val="0"/>
              <w:autoSpaceDE w:val="0"/>
              <w:autoSpaceDN w:val="0"/>
              <w:bidi w:val="0"/>
              <w:adjustRightInd/>
              <w:snapToGrid/>
              <w:spacing w:after="0" w:line="240" w:lineRule="auto"/>
              <w:ind w:left="0" w:right="0" w:firstLine="0" w:firstLineChars="0"/>
              <w:textAlignment w:val="auto"/>
              <w:rPr>
                <w:rFonts w:ascii="仿宋_GB2312" w:hAnsi="仿宋" w:eastAsia="仿宋_GB2312" w:cs="仿宋"/>
                <w:b w:val="0"/>
                <w:bCs w:val="0"/>
                <w:sz w:val="24"/>
                <w:szCs w:val="24"/>
              </w:rPr>
            </w:pPr>
            <w:r>
              <w:rPr>
                <w:rFonts w:hint="eastAsia" w:ascii="仿宋_GB2312" w:hAnsi="仿宋" w:eastAsia="仿宋_GB2312" w:cs="仿宋"/>
                <w:b w:val="0"/>
                <w:bCs w:val="0"/>
                <w:sz w:val="24"/>
                <w:szCs w:val="24"/>
              </w:rPr>
              <w:t>可以和学校的统一身份认证进行对接，对接后，用户可以通过客户的统一身份认证系统账号密码直接登录到本系统。</w:t>
            </w:r>
          </w:p>
          <w:p>
            <w:pPr>
              <w:pStyle w:val="3"/>
              <w:keepNext w:val="0"/>
              <w:keepLines w:val="0"/>
              <w:pageBreakBefore w:val="0"/>
              <w:widowControl/>
              <w:numPr>
                <w:ilvl w:val="0"/>
                <w:numId w:val="12"/>
              </w:numPr>
              <w:kinsoku/>
              <w:wordWrap/>
              <w:overflowPunct/>
              <w:topLinePunct w:val="0"/>
              <w:autoSpaceDE w:val="0"/>
              <w:autoSpaceDN w:val="0"/>
              <w:bidi w:val="0"/>
              <w:adjustRightInd/>
              <w:snapToGrid/>
              <w:spacing w:after="0" w:line="240" w:lineRule="auto"/>
              <w:ind w:left="0" w:right="0" w:firstLine="0" w:firstLineChars="0"/>
              <w:jc w:val="both"/>
              <w:textAlignment w:val="auto"/>
              <w:rPr>
                <w:rFonts w:ascii="仿宋_GB2312" w:hAnsi="仿宋" w:eastAsia="仿宋_GB2312" w:cs="仿宋"/>
                <w:b w:val="0"/>
                <w:bCs w:val="0"/>
                <w:kern w:val="2"/>
                <w:sz w:val="24"/>
                <w:szCs w:val="24"/>
                <w:lang w:val="en-US"/>
              </w:rPr>
            </w:pPr>
            <w:r>
              <w:rPr>
                <w:rFonts w:hint="eastAsia" w:ascii="仿宋_GB2312" w:hAnsi="仿宋" w:eastAsia="仿宋_GB2312" w:cs="仿宋"/>
                <w:b w:val="0"/>
                <w:bCs w:val="0"/>
                <w:kern w:val="2"/>
                <w:sz w:val="24"/>
                <w:szCs w:val="24"/>
                <w:lang w:val="en-US"/>
              </w:rPr>
              <w:t>用户的组织架构</w:t>
            </w:r>
          </w:p>
          <w:p>
            <w:pPr>
              <w:pStyle w:val="4"/>
              <w:keepNext w:val="0"/>
              <w:keepLines w:val="0"/>
              <w:pageBreakBefore w:val="0"/>
              <w:widowControl/>
              <w:numPr>
                <w:ilvl w:val="0"/>
                <w:numId w:val="15"/>
              </w:numPr>
              <w:kinsoku/>
              <w:wordWrap/>
              <w:overflowPunct/>
              <w:topLinePunct w:val="0"/>
              <w:autoSpaceDE w:val="0"/>
              <w:autoSpaceDN w:val="0"/>
              <w:bidi w:val="0"/>
              <w:adjustRightInd/>
              <w:snapToGrid/>
              <w:spacing w:after="0" w:line="240" w:lineRule="auto"/>
              <w:ind w:left="0" w:right="0" w:firstLine="0" w:firstLineChars="0"/>
              <w:textAlignment w:val="auto"/>
              <w:rPr>
                <w:rFonts w:ascii="仿宋_GB2312" w:hAnsi="仿宋" w:eastAsia="仿宋_GB2312" w:cs="仿宋"/>
                <w:b w:val="0"/>
                <w:bCs w:val="0"/>
                <w:sz w:val="24"/>
                <w:szCs w:val="24"/>
              </w:rPr>
            </w:pPr>
            <w:r>
              <w:rPr>
                <w:rFonts w:hint="eastAsia" w:ascii="仿宋_GB2312" w:hAnsi="仿宋" w:eastAsia="仿宋_GB2312" w:cs="仿宋"/>
                <w:b w:val="0"/>
                <w:bCs w:val="0"/>
                <w:sz w:val="24"/>
                <w:szCs w:val="24"/>
              </w:rPr>
              <w:t>用户部门除了支持完全的属性组织架构外，还支持扁平灵活的分组组织结架构。用户必须隶属于一个部门，可以同时属于0个或多个分组。</w:t>
            </w:r>
          </w:p>
          <w:p>
            <w:pPr>
              <w:pStyle w:val="3"/>
              <w:keepNext w:val="0"/>
              <w:keepLines w:val="0"/>
              <w:pageBreakBefore w:val="0"/>
              <w:widowControl/>
              <w:numPr>
                <w:ilvl w:val="0"/>
                <w:numId w:val="12"/>
              </w:numPr>
              <w:kinsoku/>
              <w:wordWrap/>
              <w:overflowPunct/>
              <w:topLinePunct w:val="0"/>
              <w:autoSpaceDE w:val="0"/>
              <w:autoSpaceDN w:val="0"/>
              <w:bidi w:val="0"/>
              <w:adjustRightInd/>
              <w:snapToGrid/>
              <w:spacing w:after="0" w:line="240" w:lineRule="auto"/>
              <w:ind w:left="0" w:right="0" w:firstLine="0" w:firstLineChars="0"/>
              <w:jc w:val="both"/>
              <w:textAlignment w:val="auto"/>
              <w:rPr>
                <w:rFonts w:ascii="仿宋_GB2312" w:hAnsi="仿宋" w:eastAsia="仿宋_GB2312" w:cs="仿宋"/>
                <w:b w:val="0"/>
                <w:bCs w:val="0"/>
                <w:kern w:val="2"/>
                <w:sz w:val="24"/>
                <w:szCs w:val="24"/>
                <w:lang w:val="en-US"/>
              </w:rPr>
            </w:pPr>
            <w:r>
              <w:rPr>
                <w:rFonts w:hint="eastAsia" w:ascii="仿宋_GB2312" w:hAnsi="仿宋" w:eastAsia="仿宋_GB2312" w:cs="仿宋"/>
                <w:b w:val="0"/>
                <w:bCs w:val="0"/>
                <w:kern w:val="2"/>
                <w:sz w:val="24"/>
                <w:szCs w:val="24"/>
                <w:lang w:val="en-US"/>
              </w:rPr>
              <w:t>文章、视频、软件等资源的管理和升级</w:t>
            </w:r>
          </w:p>
          <w:p>
            <w:pPr>
              <w:pStyle w:val="4"/>
              <w:keepNext w:val="0"/>
              <w:keepLines w:val="0"/>
              <w:pageBreakBefore w:val="0"/>
              <w:widowControl/>
              <w:numPr>
                <w:ilvl w:val="0"/>
                <w:numId w:val="16"/>
              </w:numPr>
              <w:tabs>
                <w:tab w:val="left" w:pos="360"/>
              </w:tabs>
              <w:kinsoku/>
              <w:wordWrap/>
              <w:overflowPunct/>
              <w:topLinePunct w:val="0"/>
              <w:autoSpaceDE w:val="0"/>
              <w:autoSpaceDN w:val="0"/>
              <w:bidi w:val="0"/>
              <w:adjustRightInd/>
              <w:snapToGrid/>
              <w:spacing w:after="0" w:line="240" w:lineRule="auto"/>
              <w:ind w:left="0" w:right="0" w:firstLine="0" w:firstLineChars="0"/>
              <w:textAlignment w:val="auto"/>
              <w:rPr>
                <w:rFonts w:ascii="仿宋_GB2312" w:hAnsi="仿宋" w:eastAsia="仿宋_GB2312" w:cs="仿宋"/>
                <w:b w:val="0"/>
                <w:bCs w:val="0"/>
                <w:sz w:val="24"/>
                <w:szCs w:val="24"/>
              </w:rPr>
            </w:pPr>
            <w:r>
              <w:rPr>
                <w:rFonts w:hint="eastAsia" w:ascii="仿宋_GB2312" w:hAnsi="仿宋" w:eastAsia="仿宋_GB2312" w:cs="仿宋"/>
                <w:b w:val="0"/>
                <w:bCs w:val="0"/>
                <w:sz w:val="24"/>
                <w:szCs w:val="24"/>
              </w:rPr>
              <w:t>系统具备一个完整的文档和视频的常见问题和使用技巧的知识库，并且该库一直处于持续更新中。客户系统在可以访问改知识库的情况下，可以实现客户系统的文档和视频知识库的实时更新。</w:t>
            </w:r>
          </w:p>
          <w:p>
            <w:pPr>
              <w:pStyle w:val="4"/>
              <w:keepNext w:val="0"/>
              <w:keepLines w:val="0"/>
              <w:pageBreakBefore w:val="0"/>
              <w:widowControl/>
              <w:numPr>
                <w:ilvl w:val="0"/>
                <w:numId w:val="16"/>
              </w:numPr>
              <w:tabs>
                <w:tab w:val="left" w:pos="360"/>
              </w:tabs>
              <w:kinsoku/>
              <w:wordWrap/>
              <w:overflowPunct/>
              <w:topLinePunct w:val="0"/>
              <w:autoSpaceDE w:val="0"/>
              <w:autoSpaceDN w:val="0"/>
              <w:bidi w:val="0"/>
              <w:adjustRightInd/>
              <w:snapToGrid/>
              <w:spacing w:after="0" w:line="240" w:lineRule="auto"/>
              <w:ind w:left="0" w:right="0" w:firstLine="0" w:firstLineChars="0"/>
              <w:textAlignment w:val="auto"/>
              <w:rPr>
                <w:rFonts w:ascii="仿宋_GB2312" w:hAnsi="仿宋" w:eastAsia="仿宋_GB2312" w:cs="仿宋"/>
                <w:b w:val="0"/>
                <w:bCs w:val="0"/>
                <w:sz w:val="24"/>
                <w:szCs w:val="24"/>
              </w:rPr>
            </w:pPr>
            <w:r>
              <w:rPr>
                <w:rFonts w:hint="eastAsia" w:ascii="仿宋_GB2312" w:hAnsi="仿宋" w:eastAsia="仿宋_GB2312" w:cs="仿宋"/>
                <w:b w:val="0"/>
                <w:bCs w:val="0"/>
                <w:sz w:val="24"/>
                <w:szCs w:val="24"/>
              </w:rPr>
              <w:t>系统提供正版软件资源、免费（PC或移动端）软件资源（包括软件安装包、软件图片、正版软件的安装步骤和介绍配置需求等内容），并且一直处于持续更新中。客户系统在可以访问该软件资源库的情况下，客户系统的软件资源库可以实现一个月一次的更新频率。</w:t>
            </w:r>
          </w:p>
          <w:p>
            <w:pPr>
              <w:pStyle w:val="3"/>
              <w:keepNext w:val="0"/>
              <w:keepLines w:val="0"/>
              <w:pageBreakBefore w:val="0"/>
              <w:widowControl/>
              <w:numPr>
                <w:ilvl w:val="0"/>
                <w:numId w:val="12"/>
              </w:numPr>
              <w:kinsoku/>
              <w:wordWrap/>
              <w:overflowPunct/>
              <w:topLinePunct w:val="0"/>
              <w:autoSpaceDE w:val="0"/>
              <w:autoSpaceDN w:val="0"/>
              <w:bidi w:val="0"/>
              <w:adjustRightInd/>
              <w:snapToGrid/>
              <w:spacing w:after="0" w:line="240" w:lineRule="auto"/>
              <w:ind w:left="0" w:right="0" w:firstLine="0" w:firstLineChars="0"/>
              <w:jc w:val="both"/>
              <w:textAlignment w:val="auto"/>
              <w:rPr>
                <w:rFonts w:ascii="仿宋_GB2312" w:hAnsi="仿宋" w:eastAsia="仿宋_GB2312" w:cs="仿宋"/>
                <w:b w:val="0"/>
                <w:bCs w:val="0"/>
                <w:kern w:val="2"/>
                <w:sz w:val="24"/>
                <w:szCs w:val="24"/>
                <w:lang w:val="en-US"/>
              </w:rPr>
            </w:pPr>
            <w:r>
              <w:rPr>
                <w:rFonts w:hint="eastAsia" w:ascii="仿宋_GB2312" w:hAnsi="仿宋" w:eastAsia="仿宋_GB2312" w:cs="仿宋"/>
                <w:b w:val="0"/>
                <w:bCs w:val="0"/>
                <w:kern w:val="2"/>
                <w:sz w:val="24"/>
                <w:szCs w:val="24"/>
                <w:lang w:val="en-US"/>
              </w:rPr>
              <w:t>监控预警功能</w:t>
            </w:r>
          </w:p>
          <w:p>
            <w:pPr>
              <w:pStyle w:val="4"/>
              <w:keepNext w:val="0"/>
              <w:keepLines w:val="0"/>
              <w:pageBreakBefore w:val="0"/>
              <w:widowControl/>
              <w:numPr>
                <w:ilvl w:val="0"/>
                <w:numId w:val="17"/>
              </w:numPr>
              <w:tabs>
                <w:tab w:val="left" w:pos="360"/>
              </w:tabs>
              <w:kinsoku/>
              <w:wordWrap/>
              <w:overflowPunct/>
              <w:topLinePunct w:val="0"/>
              <w:autoSpaceDE w:val="0"/>
              <w:autoSpaceDN w:val="0"/>
              <w:bidi w:val="0"/>
              <w:adjustRightInd/>
              <w:snapToGrid/>
              <w:spacing w:after="0" w:line="240" w:lineRule="auto"/>
              <w:ind w:left="0" w:right="0" w:firstLine="0" w:firstLineChars="0"/>
              <w:textAlignment w:val="auto"/>
              <w:rPr>
                <w:rFonts w:ascii="仿宋_GB2312" w:hAnsi="仿宋" w:eastAsia="仿宋_GB2312" w:cs="仿宋"/>
                <w:b w:val="0"/>
                <w:bCs w:val="0"/>
                <w:sz w:val="24"/>
                <w:szCs w:val="24"/>
              </w:rPr>
            </w:pPr>
            <w:r>
              <w:rPr>
                <w:rFonts w:hint="eastAsia" w:ascii="仿宋_GB2312" w:hAnsi="仿宋" w:eastAsia="仿宋_GB2312" w:cs="仿宋"/>
                <w:b w:val="0"/>
                <w:bCs w:val="0"/>
                <w:sz w:val="24"/>
                <w:szCs w:val="24"/>
              </w:rPr>
              <w:t>客户系统内置一套系统监控预警管理系统，可以对包括CPU、内存、磁盘、服务等硬件数据、管理系统的各个服务项进行监控。当这些硬件资源使用道道一定阈值或服客户系统异常的时候，系统会通过客户提供的邮箱、短信等方式实现实时的报警功能。</w:t>
            </w:r>
          </w:p>
          <w:p>
            <w:pPr>
              <w:pStyle w:val="3"/>
              <w:keepNext w:val="0"/>
              <w:keepLines w:val="0"/>
              <w:pageBreakBefore w:val="0"/>
              <w:widowControl/>
              <w:numPr>
                <w:ilvl w:val="0"/>
                <w:numId w:val="12"/>
              </w:numPr>
              <w:kinsoku/>
              <w:wordWrap/>
              <w:overflowPunct/>
              <w:topLinePunct w:val="0"/>
              <w:autoSpaceDE w:val="0"/>
              <w:autoSpaceDN w:val="0"/>
              <w:bidi w:val="0"/>
              <w:adjustRightInd/>
              <w:snapToGrid/>
              <w:spacing w:after="0" w:line="240" w:lineRule="auto"/>
              <w:ind w:left="0" w:right="0" w:firstLine="0" w:firstLineChars="0"/>
              <w:jc w:val="both"/>
              <w:textAlignment w:val="auto"/>
              <w:rPr>
                <w:rFonts w:ascii="仿宋_GB2312" w:hAnsi="仿宋" w:eastAsia="仿宋_GB2312" w:cs="仿宋"/>
                <w:b w:val="0"/>
                <w:bCs w:val="0"/>
                <w:kern w:val="2"/>
                <w:sz w:val="24"/>
                <w:szCs w:val="24"/>
                <w:lang w:val="en-US"/>
              </w:rPr>
            </w:pPr>
            <w:r>
              <w:rPr>
                <w:rFonts w:hint="eastAsia" w:ascii="仿宋_GB2312" w:hAnsi="仿宋" w:eastAsia="仿宋_GB2312" w:cs="仿宋"/>
                <w:b w:val="0"/>
                <w:bCs w:val="0"/>
                <w:kern w:val="2"/>
                <w:sz w:val="24"/>
                <w:szCs w:val="24"/>
                <w:lang w:val="en-US"/>
              </w:rPr>
              <w:t>数据安全</w:t>
            </w:r>
          </w:p>
          <w:p>
            <w:pPr>
              <w:pStyle w:val="4"/>
              <w:keepNext w:val="0"/>
              <w:keepLines w:val="0"/>
              <w:pageBreakBefore w:val="0"/>
              <w:widowControl/>
              <w:numPr>
                <w:ilvl w:val="0"/>
                <w:numId w:val="18"/>
              </w:numPr>
              <w:tabs>
                <w:tab w:val="left" w:pos="360"/>
              </w:tabs>
              <w:kinsoku/>
              <w:wordWrap/>
              <w:overflowPunct/>
              <w:topLinePunct w:val="0"/>
              <w:autoSpaceDE w:val="0"/>
              <w:autoSpaceDN w:val="0"/>
              <w:bidi w:val="0"/>
              <w:adjustRightInd/>
              <w:snapToGrid/>
              <w:spacing w:after="0" w:line="240" w:lineRule="auto"/>
              <w:ind w:left="0" w:right="0" w:firstLine="0" w:firstLineChars="0"/>
              <w:textAlignment w:val="auto"/>
              <w:rPr>
                <w:rFonts w:ascii="仿宋_GB2312" w:hAnsi="仿宋" w:eastAsia="仿宋_GB2312" w:cs="仿宋"/>
                <w:b w:val="0"/>
                <w:bCs w:val="0"/>
                <w:sz w:val="24"/>
                <w:szCs w:val="24"/>
              </w:rPr>
            </w:pPr>
            <w:r>
              <w:rPr>
                <w:rFonts w:hint="eastAsia" w:ascii="仿宋_GB2312" w:hAnsi="仿宋" w:eastAsia="仿宋_GB2312" w:cs="仿宋"/>
                <w:b w:val="0"/>
                <w:bCs w:val="0"/>
                <w:sz w:val="24"/>
                <w:szCs w:val="24"/>
              </w:rPr>
              <w:t>数据传输</w:t>
            </w:r>
          </w:p>
          <w:p>
            <w:pPr>
              <w:pStyle w:val="36"/>
              <w:keepNext w:val="0"/>
              <w:keepLines w:val="0"/>
              <w:pageBreakBefore w:val="0"/>
              <w:widowControl/>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客户端的激活数据和涉密数据的传输都采用加密传输方式。</w:t>
            </w:r>
          </w:p>
          <w:p>
            <w:pPr>
              <w:pStyle w:val="4"/>
              <w:keepNext w:val="0"/>
              <w:keepLines w:val="0"/>
              <w:pageBreakBefore w:val="0"/>
              <w:widowControl/>
              <w:numPr>
                <w:ilvl w:val="0"/>
                <w:numId w:val="18"/>
              </w:numPr>
              <w:tabs>
                <w:tab w:val="left" w:pos="360"/>
              </w:tabs>
              <w:kinsoku/>
              <w:wordWrap/>
              <w:overflowPunct/>
              <w:topLinePunct w:val="0"/>
              <w:autoSpaceDE w:val="0"/>
              <w:autoSpaceDN w:val="0"/>
              <w:bidi w:val="0"/>
              <w:adjustRightInd/>
              <w:snapToGrid/>
              <w:spacing w:after="0" w:line="240" w:lineRule="auto"/>
              <w:ind w:left="0" w:right="0" w:firstLine="0" w:firstLineChars="0"/>
              <w:textAlignment w:val="auto"/>
              <w:rPr>
                <w:rFonts w:ascii="仿宋_GB2312" w:hAnsi="仿宋" w:eastAsia="仿宋_GB2312" w:cs="仿宋"/>
                <w:b w:val="0"/>
                <w:bCs w:val="0"/>
                <w:sz w:val="24"/>
                <w:szCs w:val="24"/>
              </w:rPr>
            </w:pPr>
            <w:r>
              <w:rPr>
                <w:rFonts w:hint="eastAsia" w:ascii="仿宋_GB2312" w:hAnsi="仿宋" w:eastAsia="仿宋_GB2312" w:cs="仿宋"/>
                <w:b w:val="0"/>
                <w:bCs w:val="0"/>
                <w:sz w:val="24"/>
                <w:szCs w:val="24"/>
              </w:rPr>
              <w:t>数据存储</w:t>
            </w:r>
          </w:p>
          <w:p>
            <w:pPr>
              <w:pStyle w:val="36"/>
              <w:keepNext w:val="0"/>
              <w:keepLines w:val="0"/>
              <w:pageBreakBefore w:val="0"/>
              <w:widowControl/>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系统的涉密数据（例如用户的密码、收取的密钥、订阅账号密码等）都采用了加密存储。</w:t>
            </w:r>
          </w:p>
          <w:p>
            <w:pPr>
              <w:pStyle w:val="4"/>
              <w:keepNext w:val="0"/>
              <w:keepLines w:val="0"/>
              <w:pageBreakBefore w:val="0"/>
              <w:widowControl/>
              <w:numPr>
                <w:ilvl w:val="0"/>
                <w:numId w:val="18"/>
              </w:numPr>
              <w:tabs>
                <w:tab w:val="left" w:pos="360"/>
              </w:tabs>
              <w:kinsoku/>
              <w:wordWrap/>
              <w:overflowPunct/>
              <w:topLinePunct w:val="0"/>
              <w:autoSpaceDE w:val="0"/>
              <w:autoSpaceDN w:val="0"/>
              <w:bidi w:val="0"/>
              <w:adjustRightInd/>
              <w:snapToGrid/>
              <w:spacing w:after="0" w:line="240" w:lineRule="auto"/>
              <w:ind w:left="0" w:right="0" w:firstLine="0" w:firstLineChars="0"/>
              <w:textAlignment w:val="auto"/>
              <w:rPr>
                <w:rFonts w:ascii="仿宋_GB2312" w:hAnsi="仿宋" w:eastAsia="仿宋_GB2312" w:cs="仿宋"/>
                <w:b w:val="0"/>
                <w:bCs w:val="0"/>
                <w:sz w:val="24"/>
                <w:szCs w:val="24"/>
              </w:rPr>
            </w:pPr>
            <w:r>
              <w:rPr>
                <w:rFonts w:hint="eastAsia" w:ascii="仿宋_GB2312" w:hAnsi="仿宋" w:eastAsia="仿宋_GB2312" w:cs="仿宋"/>
                <w:b w:val="0"/>
                <w:bCs w:val="0"/>
                <w:sz w:val="24"/>
                <w:szCs w:val="24"/>
              </w:rPr>
              <w:t>数据备份</w:t>
            </w:r>
          </w:p>
          <w:p>
            <w:pPr>
              <w:pStyle w:val="36"/>
              <w:keepNext w:val="0"/>
              <w:keepLines w:val="0"/>
              <w:pageBreakBefore w:val="0"/>
              <w:widowControl/>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系统采用自动的多服务器全局备份和增量备份的方式进行备份。</w:t>
            </w:r>
          </w:p>
          <w:p>
            <w:pPr>
              <w:pStyle w:val="3"/>
              <w:keepNext w:val="0"/>
              <w:keepLines w:val="0"/>
              <w:pageBreakBefore w:val="0"/>
              <w:widowControl/>
              <w:numPr>
                <w:ilvl w:val="0"/>
                <w:numId w:val="12"/>
              </w:numPr>
              <w:kinsoku/>
              <w:wordWrap/>
              <w:overflowPunct/>
              <w:topLinePunct w:val="0"/>
              <w:autoSpaceDE w:val="0"/>
              <w:autoSpaceDN w:val="0"/>
              <w:bidi w:val="0"/>
              <w:adjustRightInd/>
              <w:snapToGrid/>
              <w:spacing w:after="0" w:line="240" w:lineRule="auto"/>
              <w:ind w:left="0" w:right="0" w:firstLine="0" w:firstLineChars="0"/>
              <w:jc w:val="both"/>
              <w:textAlignment w:val="auto"/>
              <w:rPr>
                <w:rFonts w:ascii="仿宋_GB2312" w:hAnsi="仿宋" w:eastAsia="仿宋_GB2312" w:cs="仿宋"/>
                <w:b w:val="0"/>
                <w:bCs w:val="0"/>
                <w:kern w:val="2"/>
                <w:sz w:val="24"/>
                <w:szCs w:val="24"/>
                <w:lang w:val="en-US"/>
              </w:rPr>
            </w:pPr>
            <w:r>
              <w:rPr>
                <w:rFonts w:hint="eastAsia" w:ascii="仿宋_GB2312" w:hAnsi="仿宋" w:eastAsia="仿宋_GB2312" w:cs="仿宋"/>
                <w:b w:val="0"/>
                <w:bCs w:val="0"/>
                <w:kern w:val="2"/>
                <w:sz w:val="24"/>
                <w:szCs w:val="24"/>
                <w:lang w:val="en-US"/>
              </w:rPr>
              <w:t>客户端功能</w:t>
            </w:r>
          </w:p>
          <w:p>
            <w:pPr>
              <w:pStyle w:val="4"/>
              <w:keepNext w:val="0"/>
              <w:keepLines w:val="0"/>
              <w:pageBreakBefore w:val="0"/>
              <w:widowControl/>
              <w:numPr>
                <w:ilvl w:val="0"/>
                <w:numId w:val="19"/>
              </w:numPr>
              <w:tabs>
                <w:tab w:val="left" w:pos="360"/>
              </w:tabs>
              <w:kinsoku/>
              <w:wordWrap/>
              <w:overflowPunct/>
              <w:topLinePunct w:val="0"/>
              <w:autoSpaceDE w:val="0"/>
              <w:autoSpaceDN w:val="0"/>
              <w:bidi w:val="0"/>
              <w:adjustRightInd/>
              <w:snapToGrid/>
              <w:spacing w:after="0" w:line="240" w:lineRule="auto"/>
              <w:ind w:left="0" w:right="0" w:firstLine="0" w:firstLineChars="0"/>
              <w:textAlignment w:val="auto"/>
              <w:rPr>
                <w:rFonts w:ascii="仿宋_GB2312" w:hAnsi="仿宋" w:eastAsia="仿宋_GB2312" w:cs="仿宋"/>
                <w:b w:val="0"/>
                <w:bCs w:val="0"/>
                <w:sz w:val="24"/>
                <w:szCs w:val="24"/>
              </w:rPr>
            </w:pPr>
            <w:r>
              <w:rPr>
                <w:rFonts w:hint="eastAsia" w:ascii="仿宋_GB2312" w:hAnsi="仿宋" w:eastAsia="仿宋_GB2312" w:cs="仿宋"/>
                <w:b w:val="0"/>
                <w:bCs w:val="0"/>
                <w:sz w:val="24"/>
                <w:szCs w:val="24"/>
              </w:rPr>
              <w:t>客户端的功能包括：</w:t>
            </w:r>
          </w:p>
          <w:p>
            <w:pPr>
              <w:pStyle w:val="36"/>
              <w:keepNext w:val="0"/>
              <w:keepLines w:val="0"/>
              <w:pageBreakBefore w:val="0"/>
              <w:widowControl/>
              <w:numPr>
                <w:ilvl w:val="1"/>
                <w:numId w:val="19"/>
              </w:numPr>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正版软件激活功能。</w:t>
            </w:r>
          </w:p>
          <w:p>
            <w:pPr>
              <w:pStyle w:val="36"/>
              <w:keepNext w:val="0"/>
              <w:keepLines w:val="0"/>
              <w:pageBreakBefore w:val="0"/>
              <w:widowControl/>
              <w:numPr>
                <w:ilvl w:val="1"/>
                <w:numId w:val="19"/>
              </w:numPr>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软件的下载、安装、升级、卸载和下载的软件安装包管理。</w:t>
            </w:r>
          </w:p>
          <w:p>
            <w:pPr>
              <w:pStyle w:val="36"/>
              <w:keepNext w:val="0"/>
              <w:keepLines w:val="0"/>
              <w:pageBreakBefore w:val="0"/>
              <w:widowControl/>
              <w:numPr>
                <w:ilvl w:val="1"/>
                <w:numId w:val="19"/>
              </w:numPr>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系统自动更新和更新服务器设置功能。</w:t>
            </w:r>
          </w:p>
          <w:p>
            <w:pPr>
              <w:pStyle w:val="36"/>
              <w:keepNext w:val="0"/>
              <w:keepLines w:val="0"/>
              <w:pageBreakBefore w:val="0"/>
              <w:widowControl/>
              <w:numPr>
                <w:ilvl w:val="1"/>
                <w:numId w:val="19"/>
              </w:numPr>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驱动管理。</w:t>
            </w:r>
          </w:p>
          <w:p>
            <w:pPr>
              <w:pStyle w:val="36"/>
              <w:keepNext w:val="0"/>
              <w:keepLines w:val="0"/>
              <w:pageBreakBefore w:val="0"/>
              <w:widowControl/>
              <w:numPr>
                <w:ilvl w:val="1"/>
                <w:numId w:val="19"/>
              </w:numPr>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正版软件检测功能。</w:t>
            </w:r>
          </w:p>
          <w:p>
            <w:pPr>
              <w:pStyle w:val="4"/>
              <w:keepNext w:val="0"/>
              <w:keepLines w:val="0"/>
              <w:pageBreakBefore w:val="0"/>
              <w:widowControl/>
              <w:numPr>
                <w:ilvl w:val="0"/>
                <w:numId w:val="19"/>
              </w:numPr>
              <w:tabs>
                <w:tab w:val="left" w:pos="360"/>
              </w:tabs>
              <w:kinsoku/>
              <w:wordWrap/>
              <w:overflowPunct/>
              <w:topLinePunct w:val="0"/>
              <w:autoSpaceDE w:val="0"/>
              <w:autoSpaceDN w:val="0"/>
              <w:bidi w:val="0"/>
              <w:adjustRightInd/>
              <w:snapToGrid/>
              <w:spacing w:after="0" w:line="240" w:lineRule="auto"/>
              <w:ind w:left="0" w:right="0" w:firstLine="0" w:firstLineChars="0"/>
              <w:textAlignment w:val="auto"/>
              <w:rPr>
                <w:rFonts w:ascii="仿宋_GB2312" w:hAnsi="仿宋" w:eastAsia="仿宋_GB2312" w:cs="仿宋"/>
                <w:b w:val="0"/>
                <w:bCs w:val="0"/>
                <w:sz w:val="24"/>
                <w:szCs w:val="24"/>
              </w:rPr>
            </w:pPr>
            <w:r>
              <w:rPr>
                <w:rFonts w:hint="eastAsia" w:ascii="仿宋_GB2312" w:hAnsi="仿宋" w:eastAsia="仿宋_GB2312" w:cs="仿宋"/>
                <w:b w:val="0"/>
                <w:bCs w:val="0"/>
                <w:sz w:val="24"/>
                <w:szCs w:val="24"/>
              </w:rPr>
              <w:t>系统客户端有两种适用场景：</w:t>
            </w:r>
          </w:p>
          <w:p>
            <w:pPr>
              <w:pStyle w:val="36"/>
              <w:keepNext w:val="0"/>
              <w:keepLines w:val="0"/>
              <w:pageBreakBefore w:val="0"/>
              <w:widowControl/>
              <w:numPr>
                <w:ilvl w:val="1"/>
                <w:numId w:val="19"/>
              </w:numPr>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普通用户办公电脑使用的的普通客户端</w:t>
            </w:r>
          </w:p>
          <w:p>
            <w:pPr>
              <w:pStyle w:val="36"/>
              <w:keepNext w:val="0"/>
              <w:keepLines w:val="0"/>
              <w:pageBreakBefore w:val="0"/>
              <w:widowControl/>
              <w:numPr>
                <w:ilvl w:val="1"/>
                <w:numId w:val="19"/>
              </w:numPr>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普通客户端，具备一键登录功能，用户可以通过门户直接启动客户端，并执行激活操作。</w:t>
            </w:r>
          </w:p>
          <w:p>
            <w:pPr>
              <w:pStyle w:val="36"/>
              <w:keepNext w:val="0"/>
              <w:keepLines w:val="0"/>
              <w:pageBreakBefore w:val="0"/>
              <w:widowControl/>
              <w:numPr>
                <w:ilvl w:val="1"/>
                <w:numId w:val="19"/>
              </w:numPr>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机房、实验室等环境的批量客户端。</w:t>
            </w:r>
          </w:p>
          <w:p>
            <w:pPr>
              <w:pStyle w:val="36"/>
              <w:keepNext w:val="0"/>
              <w:keepLines w:val="0"/>
              <w:pageBreakBefore w:val="0"/>
              <w:widowControl/>
              <w:numPr>
                <w:ilvl w:val="1"/>
                <w:numId w:val="19"/>
              </w:numPr>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客户端安装上了以后，会自动检测可以激活软件，并且执行激活操作。</w:t>
            </w:r>
          </w:p>
          <w:p>
            <w:pPr>
              <w:pStyle w:val="36"/>
              <w:keepNext w:val="0"/>
              <w:keepLines w:val="0"/>
              <w:pageBreakBefore w:val="0"/>
              <w:widowControl/>
              <w:numPr>
                <w:ilvl w:val="1"/>
                <w:numId w:val="19"/>
              </w:numPr>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为了确保激活数据的安全客户端的数据传输都采用的是加密传输。</w:t>
            </w:r>
          </w:p>
          <w:p>
            <w:pPr>
              <w:pStyle w:val="3"/>
              <w:keepNext w:val="0"/>
              <w:keepLines w:val="0"/>
              <w:pageBreakBefore w:val="0"/>
              <w:widowControl/>
              <w:numPr>
                <w:ilvl w:val="0"/>
                <w:numId w:val="12"/>
              </w:numPr>
              <w:kinsoku/>
              <w:wordWrap/>
              <w:overflowPunct/>
              <w:topLinePunct w:val="0"/>
              <w:autoSpaceDE w:val="0"/>
              <w:autoSpaceDN w:val="0"/>
              <w:bidi w:val="0"/>
              <w:adjustRightInd/>
              <w:snapToGrid/>
              <w:spacing w:after="0" w:line="240" w:lineRule="auto"/>
              <w:ind w:left="0" w:right="0" w:firstLine="0" w:firstLineChars="0"/>
              <w:jc w:val="both"/>
              <w:textAlignment w:val="auto"/>
              <w:rPr>
                <w:rFonts w:ascii="仿宋_GB2312" w:hAnsi="仿宋" w:eastAsia="仿宋_GB2312" w:cs="仿宋"/>
                <w:b w:val="0"/>
                <w:bCs w:val="0"/>
                <w:kern w:val="2"/>
                <w:sz w:val="24"/>
                <w:szCs w:val="24"/>
                <w:lang w:val="en-US"/>
              </w:rPr>
            </w:pPr>
            <w:r>
              <w:rPr>
                <w:rFonts w:hint="eastAsia" w:ascii="仿宋_GB2312" w:hAnsi="仿宋" w:eastAsia="仿宋_GB2312" w:cs="仿宋"/>
                <w:b w:val="0"/>
                <w:bCs w:val="0"/>
                <w:kern w:val="2"/>
                <w:sz w:val="24"/>
                <w:szCs w:val="24"/>
                <w:lang w:val="en-US"/>
              </w:rPr>
              <w:t>授权资源管理功能</w:t>
            </w:r>
          </w:p>
          <w:p>
            <w:pPr>
              <w:pStyle w:val="4"/>
              <w:keepNext w:val="0"/>
              <w:keepLines w:val="0"/>
              <w:pageBreakBefore w:val="0"/>
              <w:widowControl/>
              <w:numPr>
                <w:ilvl w:val="0"/>
                <w:numId w:val="20"/>
              </w:numPr>
              <w:tabs>
                <w:tab w:val="left" w:pos="360"/>
              </w:tabs>
              <w:kinsoku/>
              <w:wordWrap/>
              <w:overflowPunct/>
              <w:topLinePunct w:val="0"/>
              <w:autoSpaceDE w:val="0"/>
              <w:autoSpaceDN w:val="0"/>
              <w:bidi w:val="0"/>
              <w:adjustRightInd/>
              <w:snapToGrid/>
              <w:spacing w:after="0" w:line="240" w:lineRule="auto"/>
              <w:ind w:left="0" w:right="0" w:firstLine="0" w:firstLineChars="0"/>
              <w:textAlignment w:val="auto"/>
              <w:rPr>
                <w:rFonts w:ascii="仿宋_GB2312" w:hAnsi="仿宋" w:eastAsia="仿宋_GB2312" w:cs="仿宋"/>
                <w:b w:val="0"/>
                <w:bCs w:val="0"/>
                <w:sz w:val="24"/>
                <w:szCs w:val="24"/>
              </w:rPr>
            </w:pPr>
            <w:r>
              <w:rPr>
                <w:rFonts w:hint="eastAsia" w:ascii="仿宋_GB2312" w:hAnsi="仿宋" w:eastAsia="仿宋_GB2312" w:cs="仿宋"/>
                <w:b w:val="0"/>
                <w:bCs w:val="0"/>
                <w:sz w:val="24"/>
                <w:szCs w:val="24"/>
              </w:rPr>
              <w:t>系统可以对密钥激活、服务器激活、内置密钥激活、统一身份认证登录激活、订阅式授权等方式进行管理。</w:t>
            </w:r>
          </w:p>
          <w:p>
            <w:pPr>
              <w:pStyle w:val="4"/>
              <w:keepNext w:val="0"/>
              <w:keepLines w:val="0"/>
              <w:pageBreakBefore w:val="0"/>
              <w:widowControl/>
              <w:numPr>
                <w:ilvl w:val="0"/>
                <w:numId w:val="20"/>
              </w:numPr>
              <w:tabs>
                <w:tab w:val="left" w:pos="360"/>
              </w:tabs>
              <w:kinsoku/>
              <w:wordWrap/>
              <w:overflowPunct/>
              <w:topLinePunct w:val="0"/>
              <w:autoSpaceDE w:val="0"/>
              <w:autoSpaceDN w:val="0"/>
              <w:bidi w:val="0"/>
              <w:adjustRightInd/>
              <w:snapToGrid/>
              <w:spacing w:after="0" w:line="240" w:lineRule="auto"/>
              <w:ind w:left="0" w:right="0" w:firstLine="0" w:firstLineChars="0"/>
              <w:textAlignment w:val="auto"/>
              <w:rPr>
                <w:rFonts w:ascii="仿宋_GB2312" w:hAnsi="仿宋" w:eastAsia="仿宋_GB2312" w:cs="仿宋"/>
                <w:b w:val="0"/>
                <w:bCs w:val="0"/>
                <w:sz w:val="24"/>
                <w:szCs w:val="24"/>
              </w:rPr>
            </w:pPr>
            <w:r>
              <w:rPr>
                <w:rFonts w:hint="eastAsia" w:ascii="仿宋_GB2312" w:hAnsi="仿宋" w:eastAsia="仿宋_GB2312" w:cs="仿宋"/>
                <w:b w:val="0"/>
                <w:bCs w:val="0"/>
                <w:sz w:val="24"/>
                <w:szCs w:val="24"/>
              </w:rPr>
              <w:t>授权模式，客户系统的用户激活次数授权模式与部门的树形结构相匹配，即，上级部门可以对本部门用户下级部门以及下级部门的用户的授权资源数量进行管理；同样的分组授权，需要将授权资源分配给分组以后分组的管理员或顶级管理员才能给分组的用户分配相应的授权资源。</w:t>
            </w:r>
          </w:p>
          <w:p>
            <w:pPr>
              <w:pStyle w:val="4"/>
              <w:keepNext w:val="0"/>
              <w:keepLines w:val="0"/>
              <w:pageBreakBefore w:val="0"/>
              <w:widowControl/>
              <w:numPr>
                <w:ilvl w:val="0"/>
                <w:numId w:val="20"/>
              </w:numPr>
              <w:tabs>
                <w:tab w:val="left" w:pos="360"/>
              </w:tabs>
              <w:kinsoku/>
              <w:wordWrap/>
              <w:overflowPunct/>
              <w:topLinePunct w:val="0"/>
              <w:autoSpaceDE w:val="0"/>
              <w:autoSpaceDN w:val="0"/>
              <w:bidi w:val="0"/>
              <w:adjustRightInd/>
              <w:snapToGrid/>
              <w:spacing w:after="0" w:line="240" w:lineRule="auto"/>
              <w:ind w:left="0" w:right="0" w:firstLine="0" w:firstLineChars="0"/>
              <w:textAlignment w:val="auto"/>
              <w:rPr>
                <w:rFonts w:ascii="仿宋_GB2312" w:hAnsi="仿宋" w:eastAsia="仿宋_GB2312" w:cs="仿宋"/>
                <w:b w:val="0"/>
                <w:bCs w:val="0"/>
                <w:sz w:val="24"/>
                <w:szCs w:val="24"/>
              </w:rPr>
            </w:pPr>
            <w:r>
              <w:rPr>
                <w:rFonts w:hint="eastAsia" w:ascii="仿宋_GB2312" w:hAnsi="仿宋" w:eastAsia="仿宋_GB2312" w:cs="仿宋"/>
                <w:b w:val="0"/>
                <w:bCs w:val="0"/>
                <w:sz w:val="24"/>
                <w:szCs w:val="24"/>
              </w:rPr>
              <w:t>授权资源分配方式包括：</w:t>
            </w:r>
          </w:p>
          <w:p>
            <w:pPr>
              <w:pStyle w:val="36"/>
              <w:keepNext w:val="0"/>
              <w:keepLines w:val="0"/>
              <w:pageBreakBefore w:val="0"/>
              <w:widowControl/>
              <w:numPr>
                <w:ilvl w:val="1"/>
                <w:numId w:val="20"/>
              </w:numPr>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注册自动分配</w:t>
            </w:r>
          </w:p>
          <w:p>
            <w:pPr>
              <w:pStyle w:val="36"/>
              <w:keepNext w:val="0"/>
              <w:keepLines w:val="0"/>
              <w:pageBreakBefore w:val="0"/>
              <w:widowControl/>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用户注册到系统以后，会根据系统参数为注册用户自动分配授权资源。</w:t>
            </w:r>
          </w:p>
          <w:p>
            <w:pPr>
              <w:pStyle w:val="36"/>
              <w:keepNext w:val="0"/>
              <w:keepLines w:val="0"/>
              <w:pageBreakBefore w:val="0"/>
              <w:widowControl/>
              <w:numPr>
                <w:ilvl w:val="1"/>
                <w:numId w:val="20"/>
              </w:numPr>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手动/自动全局恢复</w:t>
            </w:r>
            <w:r>
              <w:rPr>
                <w:rFonts w:hint="eastAsia" w:ascii="仿宋_GB2312" w:hAnsi="仿宋" w:eastAsia="仿宋_GB2312" w:cs="仿宋"/>
                <w:sz w:val="24"/>
                <w:szCs w:val="24"/>
              </w:rPr>
              <w:cr/>
            </w:r>
            <w:r>
              <w:rPr>
                <w:rFonts w:hint="eastAsia" w:ascii="仿宋_GB2312" w:hAnsi="仿宋" w:eastAsia="仿宋_GB2312" w:cs="仿宋"/>
                <w:sz w:val="24"/>
                <w:szCs w:val="24"/>
              </w:rPr>
              <w:t>系统具备一键全局恢复授权资源的功能。恢复后，用户的可用收取资源数量</w:t>
            </w:r>
          </w:p>
          <w:p>
            <w:pPr>
              <w:pStyle w:val="36"/>
              <w:keepNext w:val="0"/>
              <w:keepLines w:val="0"/>
              <w:pageBreakBefore w:val="0"/>
              <w:widowControl/>
              <w:numPr>
                <w:ilvl w:val="1"/>
                <w:numId w:val="20"/>
              </w:numPr>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定时全局自动恢复</w:t>
            </w:r>
          </w:p>
          <w:p>
            <w:pPr>
              <w:pStyle w:val="36"/>
              <w:keepNext w:val="0"/>
              <w:keepLines w:val="0"/>
              <w:pageBreakBefore w:val="0"/>
              <w:widowControl/>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系统具备自动全局恢复功能。可以通过设定自动恢复时间等规则，对用户的授权资源进行全局自动恢复（效果同上）；</w:t>
            </w:r>
          </w:p>
          <w:p>
            <w:pPr>
              <w:pStyle w:val="36"/>
              <w:keepNext w:val="0"/>
              <w:keepLines w:val="0"/>
              <w:pageBreakBefore w:val="0"/>
              <w:widowControl/>
              <w:numPr>
                <w:ilvl w:val="1"/>
                <w:numId w:val="20"/>
              </w:numPr>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管理员后台分配</w:t>
            </w:r>
            <w:r>
              <w:rPr>
                <w:rFonts w:hint="eastAsia" w:ascii="仿宋_GB2312" w:hAnsi="仿宋" w:eastAsia="仿宋_GB2312" w:cs="仿宋"/>
                <w:sz w:val="24"/>
                <w:szCs w:val="24"/>
              </w:rPr>
              <w:cr/>
            </w:r>
            <w:r>
              <w:rPr>
                <w:rFonts w:hint="eastAsia" w:ascii="仿宋_GB2312" w:hAnsi="仿宋" w:eastAsia="仿宋_GB2312" w:cs="仿宋"/>
                <w:sz w:val="24"/>
                <w:szCs w:val="24"/>
              </w:rPr>
              <w:t>管理可以在管理后为单个用户分配授权资源。</w:t>
            </w:r>
          </w:p>
          <w:p>
            <w:pPr>
              <w:pStyle w:val="36"/>
              <w:keepNext w:val="0"/>
              <w:keepLines w:val="0"/>
              <w:pageBreakBefore w:val="0"/>
              <w:widowControl/>
              <w:numPr>
                <w:ilvl w:val="1"/>
                <w:numId w:val="20"/>
              </w:numPr>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申请/审批授权分配</w:t>
            </w:r>
            <w:r>
              <w:rPr>
                <w:rFonts w:hint="eastAsia" w:ascii="仿宋_GB2312" w:hAnsi="仿宋" w:eastAsia="仿宋_GB2312" w:cs="仿宋"/>
                <w:sz w:val="24"/>
                <w:szCs w:val="24"/>
              </w:rPr>
              <w:cr/>
            </w:r>
            <w:r>
              <w:rPr>
                <w:rFonts w:hint="eastAsia" w:ascii="仿宋_GB2312" w:hAnsi="仿宋" w:eastAsia="仿宋_GB2312" w:cs="仿宋"/>
                <w:sz w:val="24"/>
                <w:szCs w:val="24"/>
              </w:rPr>
              <w:t>用户可以通过客户端或系统网址的个人中心申请授权资源。在管理员通过后台审批通过以后，用户可以获取到新的授权资源。</w:t>
            </w:r>
          </w:p>
          <w:p>
            <w:pPr>
              <w:pStyle w:val="3"/>
              <w:keepNext w:val="0"/>
              <w:keepLines w:val="0"/>
              <w:pageBreakBefore w:val="0"/>
              <w:widowControl/>
              <w:numPr>
                <w:ilvl w:val="0"/>
                <w:numId w:val="12"/>
              </w:numPr>
              <w:kinsoku/>
              <w:wordWrap/>
              <w:overflowPunct/>
              <w:topLinePunct w:val="0"/>
              <w:autoSpaceDE w:val="0"/>
              <w:autoSpaceDN w:val="0"/>
              <w:bidi w:val="0"/>
              <w:adjustRightInd/>
              <w:snapToGrid/>
              <w:spacing w:after="0" w:line="240" w:lineRule="auto"/>
              <w:ind w:left="0" w:right="0" w:firstLine="0" w:firstLineChars="0"/>
              <w:jc w:val="both"/>
              <w:textAlignment w:val="auto"/>
              <w:rPr>
                <w:rFonts w:ascii="仿宋_GB2312" w:hAnsi="仿宋" w:eastAsia="仿宋_GB2312" w:cs="仿宋"/>
                <w:b w:val="0"/>
                <w:bCs w:val="0"/>
                <w:kern w:val="2"/>
                <w:sz w:val="24"/>
                <w:szCs w:val="24"/>
                <w:lang w:val="en-US"/>
              </w:rPr>
            </w:pPr>
            <w:r>
              <w:rPr>
                <w:rFonts w:hint="eastAsia" w:ascii="仿宋_GB2312" w:hAnsi="仿宋" w:eastAsia="仿宋_GB2312" w:cs="仿宋"/>
                <w:b w:val="0"/>
                <w:bCs w:val="0"/>
                <w:kern w:val="2"/>
                <w:sz w:val="24"/>
                <w:szCs w:val="24"/>
                <w:lang w:val="en-US"/>
              </w:rPr>
              <w:t>正版软件检测和台账导出功能</w:t>
            </w:r>
          </w:p>
          <w:p>
            <w:pPr>
              <w:pStyle w:val="4"/>
              <w:keepNext w:val="0"/>
              <w:keepLines w:val="0"/>
              <w:pageBreakBefore w:val="0"/>
              <w:widowControl/>
              <w:numPr>
                <w:ilvl w:val="0"/>
                <w:numId w:val="21"/>
              </w:numPr>
              <w:tabs>
                <w:tab w:val="left" w:pos="360"/>
              </w:tabs>
              <w:kinsoku/>
              <w:wordWrap/>
              <w:overflowPunct/>
              <w:topLinePunct w:val="0"/>
              <w:autoSpaceDE w:val="0"/>
              <w:autoSpaceDN w:val="0"/>
              <w:bidi w:val="0"/>
              <w:adjustRightInd/>
              <w:snapToGrid/>
              <w:spacing w:after="0" w:line="240" w:lineRule="auto"/>
              <w:ind w:left="0" w:right="0" w:firstLine="0" w:firstLineChars="0"/>
              <w:textAlignment w:val="auto"/>
              <w:rPr>
                <w:rFonts w:ascii="仿宋_GB2312" w:hAnsi="仿宋" w:eastAsia="仿宋_GB2312" w:cs="仿宋"/>
                <w:b w:val="0"/>
                <w:bCs w:val="0"/>
                <w:sz w:val="24"/>
                <w:szCs w:val="24"/>
              </w:rPr>
            </w:pPr>
            <w:r>
              <w:rPr>
                <w:rFonts w:hint="eastAsia" w:ascii="仿宋_GB2312" w:hAnsi="仿宋" w:eastAsia="仿宋_GB2312" w:cs="仿宋"/>
                <w:b w:val="0"/>
                <w:bCs w:val="0"/>
                <w:sz w:val="24"/>
                <w:szCs w:val="24"/>
              </w:rPr>
              <w:t>用户在电脑上面安装了客户端以后，客户端会对电脑的正版软件使用情况进行检测并记录。管理员可以通过后台导出部门的正版台账统计表和详细表。或通过个人信息、设备信息查询正版软件检测情况。</w:t>
            </w:r>
          </w:p>
          <w:p>
            <w:pPr>
              <w:pStyle w:val="3"/>
              <w:keepNext w:val="0"/>
              <w:keepLines w:val="0"/>
              <w:pageBreakBefore w:val="0"/>
              <w:widowControl/>
              <w:numPr>
                <w:ilvl w:val="0"/>
                <w:numId w:val="12"/>
              </w:numPr>
              <w:kinsoku/>
              <w:wordWrap/>
              <w:overflowPunct/>
              <w:topLinePunct w:val="0"/>
              <w:autoSpaceDE w:val="0"/>
              <w:autoSpaceDN w:val="0"/>
              <w:bidi w:val="0"/>
              <w:adjustRightInd/>
              <w:snapToGrid/>
              <w:spacing w:after="0" w:line="240" w:lineRule="auto"/>
              <w:ind w:left="0" w:right="0" w:firstLine="0" w:firstLineChars="0"/>
              <w:jc w:val="both"/>
              <w:textAlignment w:val="auto"/>
              <w:rPr>
                <w:rFonts w:ascii="仿宋_GB2312" w:hAnsi="仿宋" w:eastAsia="仿宋_GB2312" w:cs="仿宋"/>
                <w:b w:val="0"/>
                <w:bCs w:val="0"/>
                <w:kern w:val="2"/>
                <w:sz w:val="24"/>
                <w:szCs w:val="24"/>
                <w:lang w:val="en-US"/>
              </w:rPr>
            </w:pPr>
            <w:r>
              <w:rPr>
                <w:rFonts w:hint="eastAsia" w:ascii="仿宋_GB2312" w:hAnsi="仿宋" w:eastAsia="仿宋_GB2312" w:cs="仿宋"/>
                <w:b w:val="0"/>
                <w:bCs w:val="0"/>
                <w:kern w:val="2"/>
                <w:sz w:val="24"/>
                <w:szCs w:val="24"/>
                <w:lang w:val="en-US"/>
              </w:rPr>
              <w:t>日志管理功能</w:t>
            </w:r>
          </w:p>
          <w:p>
            <w:pPr>
              <w:pStyle w:val="36"/>
              <w:keepNext w:val="0"/>
              <w:keepLines w:val="0"/>
              <w:pageBreakBefore w:val="0"/>
              <w:widowControl/>
              <w:numPr>
                <w:ilvl w:val="0"/>
                <w:numId w:val="22"/>
              </w:numPr>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系统会对用户的授权分配、激活、登录、操作、软件下载、文章浏览等进行记录。</w:t>
            </w:r>
          </w:p>
          <w:p>
            <w:pPr>
              <w:pStyle w:val="36"/>
              <w:keepNext w:val="0"/>
              <w:keepLines w:val="0"/>
              <w:pageBreakBefore w:val="0"/>
              <w:widowControl/>
              <w:numPr>
                <w:ilvl w:val="0"/>
                <w:numId w:val="22"/>
              </w:numPr>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授权资源分配记录</w:t>
            </w:r>
          </w:p>
          <w:p>
            <w:pPr>
              <w:pStyle w:val="36"/>
              <w:keepNext w:val="0"/>
              <w:keepLines w:val="0"/>
              <w:pageBreakBefore w:val="0"/>
              <w:widowControl/>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记录分配的用户信息、分配原因、分配数量、分配时间、审核信息等。</w:t>
            </w:r>
          </w:p>
          <w:p>
            <w:pPr>
              <w:pStyle w:val="36"/>
              <w:keepNext w:val="0"/>
              <w:keepLines w:val="0"/>
              <w:pageBreakBefore w:val="0"/>
              <w:widowControl/>
              <w:numPr>
                <w:ilvl w:val="0"/>
                <w:numId w:val="22"/>
              </w:numPr>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激活记录</w:t>
            </w:r>
          </w:p>
          <w:p>
            <w:pPr>
              <w:pStyle w:val="36"/>
              <w:keepNext w:val="0"/>
              <w:keepLines w:val="0"/>
              <w:pageBreakBefore w:val="0"/>
              <w:widowControl/>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记录激活的软件、用户、设备信息、密钥、时间、IP、激活故障等数据。</w:t>
            </w:r>
          </w:p>
          <w:p>
            <w:pPr>
              <w:pStyle w:val="36"/>
              <w:keepNext w:val="0"/>
              <w:keepLines w:val="0"/>
              <w:pageBreakBefore w:val="0"/>
              <w:widowControl/>
              <w:numPr>
                <w:ilvl w:val="0"/>
                <w:numId w:val="22"/>
              </w:numPr>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登录日志</w:t>
            </w:r>
          </w:p>
          <w:p>
            <w:pPr>
              <w:pStyle w:val="36"/>
              <w:keepNext w:val="0"/>
              <w:keepLines w:val="0"/>
              <w:pageBreakBefore w:val="0"/>
              <w:widowControl/>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登录时间、IP、登录结果、登录用户等信息。</w:t>
            </w:r>
          </w:p>
          <w:p>
            <w:pPr>
              <w:pStyle w:val="36"/>
              <w:keepNext w:val="0"/>
              <w:keepLines w:val="0"/>
              <w:pageBreakBefore w:val="0"/>
              <w:widowControl/>
              <w:numPr>
                <w:ilvl w:val="0"/>
                <w:numId w:val="22"/>
              </w:numPr>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管理员操作日志</w:t>
            </w:r>
          </w:p>
          <w:p>
            <w:pPr>
              <w:pStyle w:val="36"/>
              <w:keepNext w:val="0"/>
              <w:keepLines w:val="0"/>
              <w:pageBreakBefore w:val="0"/>
              <w:widowControl/>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包括管理员信息、IP、操作时间、操作内容、数据提交方式等。</w:t>
            </w:r>
          </w:p>
          <w:p>
            <w:pPr>
              <w:pStyle w:val="36"/>
              <w:keepNext w:val="0"/>
              <w:keepLines w:val="0"/>
              <w:pageBreakBefore w:val="0"/>
              <w:widowControl/>
              <w:numPr>
                <w:ilvl w:val="0"/>
                <w:numId w:val="22"/>
              </w:numPr>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软件下载日志</w:t>
            </w:r>
          </w:p>
          <w:p>
            <w:pPr>
              <w:pStyle w:val="36"/>
              <w:keepNext w:val="0"/>
              <w:keepLines w:val="0"/>
              <w:pageBreakBefore w:val="0"/>
              <w:widowControl/>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下载软件信息、下载用户、IP、下载时间等。</w:t>
            </w:r>
          </w:p>
          <w:p>
            <w:pPr>
              <w:pStyle w:val="36"/>
              <w:keepNext w:val="0"/>
              <w:keepLines w:val="0"/>
              <w:pageBreakBefore w:val="0"/>
              <w:widowControl/>
              <w:numPr>
                <w:ilvl w:val="0"/>
                <w:numId w:val="22"/>
              </w:numPr>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文章/视频浏览日志</w:t>
            </w:r>
          </w:p>
          <w:p>
            <w:pPr>
              <w:pStyle w:val="36"/>
              <w:keepNext w:val="0"/>
              <w:keepLines w:val="0"/>
              <w:pageBreakBefore w:val="0"/>
              <w:widowControl/>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浏览用户、IP、浏览时间、浏览文章/视频信息</w:t>
            </w:r>
          </w:p>
          <w:p>
            <w:pPr>
              <w:pStyle w:val="3"/>
              <w:keepNext w:val="0"/>
              <w:keepLines w:val="0"/>
              <w:pageBreakBefore w:val="0"/>
              <w:widowControl/>
              <w:numPr>
                <w:ilvl w:val="0"/>
                <w:numId w:val="12"/>
              </w:numPr>
              <w:kinsoku/>
              <w:wordWrap/>
              <w:overflowPunct/>
              <w:topLinePunct w:val="0"/>
              <w:autoSpaceDE w:val="0"/>
              <w:autoSpaceDN w:val="0"/>
              <w:bidi w:val="0"/>
              <w:adjustRightInd/>
              <w:snapToGrid/>
              <w:spacing w:after="0" w:line="240" w:lineRule="auto"/>
              <w:ind w:left="0" w:right="0" w:firstLine="0" w:firstLineChars="0"/>
              <w:jc w:val="both"/>
              <w:textAlignment w:val="auto"/>
              <w:rPr>
                <w:rFonts w:ascii="仿宋_GB2312" w:hAnsi="仿宋" w:eastAsia="仿宋_GB2312" w:cs="仿宋"/>
                <w:b w:val="0"/>
                <w:bCs w:val="0"/>
                <w:kern w:val="2"/>
                <w:sz w:val="24"/>
                <w:szCs w:val="24"/>
                <w:lang w:val="en-US"/>
              </w:rPr>
            </w:pPr>
            <w:r>
              <w:rPr>
                <w:rFonts w:hint="eastAsia" w:ascii="仿宋_GB2312" w:hAnsi="仿宋" w:eastAsia="仿宋_GB2312" w:cs="仿宋"/>
                <w:b w:val="0"/>
                <w:bCs w:val="0"/>
                <w:kern w:val="2"/>
                <w:sz w:val="24"/>
                <w:szCs w:val="24"/>
                <w:lang w:val="en-US"/>
              </w:rPr>
              <w:t>统计图表功能</w:t>
            </w:r>
          </w:p>
          <w:p>
            <w:pPr>
              <w:pStyle w:val="4"/>
              <w:keepNext w:val="0"/>
              <w:keepLines w:val="0"/>
              <w:pageBreakBefore w:val="0"/>
              <w:widowControl/>
              <w:numPr>
                <w:ilvl w:val="0"/>
                <w:numId w:val="23"/>
              </w:numPr>
              <w:tabs>
                <w:tab w:val="left" w:pos="360"/>
              </w:tabs>
              <w:kinsoku/>
              <w:wordWrap/>
              <w:overflowPunct/>
              <w:topLinePunct w:val="0"/>
              <w:autoSpaceDE w:val="0"/>
              <w:autoSpaceDN w:val="0"/>
              <w:bidi w:val="0"/>
              <w:adjustRightInd/>
              <w:snapToGrid/>
              <w:spacing w:after="0" w:line="240" w:lineRule="auto"/>
              <w:ind w:left="0" w:right="0" w:firstLine="0" w:firstLineChars="0"/>
              <w:textAlignment w:val="auto"/>
              <w:rPr>
                <w:rFonts w:ascii="仿宋_GB2312" w:hAnsi="仿宋" w:eastAsia="仿宋_GB2312" w:cs="仿宋"/>
                <w:b w:val="0"/>
                <w:bCs w:val="0"/>
                <w:sz w:val="24"/>
                <w:szCs w:val="24"/>
              </w:rPr>
            </w:pPr>
            <w:r>
              <w:rPr>
                <w:rFonts w:hint="eastAsia" w:ascii="仿宋_GB2312" w:hAnsi="仿宋" w:eastAsia="仿宋_GB2312" w:cs="仿宋"/>
                <w:b w:val="0"/>
                <w:bCs w:val="0"/>
                <w:sz w:val="24"/>
                <w:szCs w:val="24"/>
              </w:rPr>
              <w:t>系统会对用户注册、授权资源分配、授权资源使用、软件下载、正版软件检测等信息以部门/分组、身份类型、时间（年、月、日等）进行多维度的统计。并且支持以Excel的格式对数据进行导出。</w:t>
            </w:r>
          </w:p>
          <w:p>
            <w:pPr>
              <w:pStyle w:val="3"/>
              <w:keepNext w:val="0"/>
              <w:keepLines w:val="0"/>
              <w:pageBreakBefore w:val="0"/>
              <w:widowControl/>
              <w:numPr>
                <w:ilvl w:val="0"/>
                <w:numId w:val="12"/>
              </w:numPr>
              <w:kinsoku/>
              <w:wordWrap/>
              <w:overflowPunct/>
              <w:topLinePunct w:val="0"/>
              <w:autoSpaceDE w:val="0"/>
              <w:autoSpaceDN w:val="0"/>
              <w:bidi w:val="0"/>
              <w:adjustRightInd/>
              <w:snapToGrid/>
              <w:spacing w:after="0" w:line="240" w:lineRule="auto"/>
              <w:ind w:left="0" w:right="0" w:firstLine="0" w:firstLineChars="0"/>
              <w:jc w:val="both"/>
              <w:textAlignment w:val="auto"/>
              <w:rPr>
                <w:rFonts w:ascii="仿宋_GB2312" w:hAnsi="仿宋" w:eastAsia="仿宋_GB2312" w:cs="仿宋"/>
                <w:b w:val="0"/>
                <w:bCs w:val="0"/>
                <w:kern w:val="2"/>
                <w:sz w:val="24"/>
                <w:szCs w:val="24"/>
                <w:lang w:val="en-US"/>
              </w:rPr>
            </w:pPr>
            <w:r>
              <w:rPr>
                <w:rFonts w:hint="eastAsia" w:ascii="仿宋_GB2312" w:hAnsi="仿宋" w:eastAsia="仿宋_GB2312" w:cs="仿宋"/>
                <w:b w:val="0"/>
                <w:bCs w:val="0"/>
                <w:kern w:val="2"/>
                <w:sz w:val="24"/>
                <w:szCs w:val="24"/>
                <w:lang w:val="en-US"/>
              </w:rPr>
              <w:t>知识产权要求</w:t>
            </w:r>
          </w:p>
          <w:p>
            <w:pPr>
              <w:pStyle w:val="4"/>
              <w:keepNext w:val="0"/>
              <w:keepLines w:val="0"/>
              <w:pageBreakBefore w:val="0"/>
              <w:widowControl/>
              <w:numPr>
                <w:ilvl w:val="0"/>
                <w:numId w:val="24"/>
              </w:numPr>
              <w:tabs>
                <w:tab w:val="left" w:pos="360"/>
              </w:tabs>
              <w:kinsoku/>
              <w:wordWrap/>
              <w:overflowPunct/>
              <w:topLinePunct w:val="0"/>
              <w:autoSpaceDE w:val="0"/>
              <w:autoSpaceDN w:val="0"/>
              <w:bidi w:val="0"/>
              <w:adjustRightInd/>
              <w:snapToGrid/>
              <w:spacing w:after="0" w:line="240" w:lineRule="auto"/>
              <w:ind w:left="0" w:right="0" w:firstLine="0" w:firstLineChars="0"/>
              <w:textAlignment w:val="auto"/>
              <w:rPr>
                <w:rFonts w:ascii="仿宋_GB2312" w:hAnsi="仿宋" w:eastAsia="仿宋_GB2312" w:cs="仿宋"/>
                <w:b w:val="0"/>
                <w:bCs w:val="0"/>
                <w:sz w:val="24"/>
                <w:szCs w:val="24"/>
              </w:rPr>
            </w:pPr>
            <w:r>
              <w:rPr>
                <w:rFonts w:hint="eastAsia" w:ascii="仿宋_GB2312" w:hAnsi="仿宋" w:eastAsia="仿宋_GB2312" w:cs="仿宋"/>
                <w:b w:val="0"/>
                <w:bCs w:val="0"/>
                <w:sz w:val="24"/>
                <w:szCs w:val="24"/>
              </w:rPr>
              <w:t>正版软件资源管理与服务交付平台提供商，保证其归功的服务不得侵犯任何第三方的合法知识产权以及其他权益。必须引导本校合规的使用第三方公司的软件商品，如果是由于知识产权以及第三方公司的软件合规导致的第三方追责，本校概不负责，一切责任由服务平台服务提供商负责。</w:t>
            </w:r>
          </w:p>
          <w:p>
            <w:pPr>
              <w:pStyle w:val="4"/>
              <w:keepNext w:val="0"/>
              <w:keepLines w:val="0"/>
              <w:pageBreakBefore w:val="0"/>
              <w:widowControl/>
              <w:numPr>
                <w:ilvl w:val="0"/>
                <w:numId w:val="0"/>
              </w:numPr>
              <w:tabs>
                <w:tab w:val="left" w:pos="360"/>
              </w:tabs>
              <w:kinsoku/>
              <w:wordWrap/>
              <w:overflowPunct/>
              <w:topLinePunct w:val="0"/>
              <w:autoSpaceDE w:val="0"/>
              <w:autoSpaceDN w:val="0"/>
              <w:bidi w:val="0"/>
              <w:adjustRightInd/>
              <w:snapToGrid/>
              <w:spacing w:after="0" w:line="240" w:lineRule="auto"/>
              <w:ind w:leftChars="0" w:right="0" w:rightChars="0"/>
              <w:textAlignment w:val="auto"/>
              <w:rPr>
                <w:rFonts w:ascii="仿宋_GB2312" w:hAnsi="仿宋" w:eastAsia="仿宋_GB2312" w:cs="仿宋"/>
                <w:b/>
                <w:bCs/>
                <w:sz w:val="24"/>
                <w:szCs w:val="24"/>
                <w:highlight w:val="none"/>
              </w:rPr>
            </w:pPr>
            <w:r>
              <w:rPr>
                <w:rFonts w:hint="eastAsia" w:ascii="仿宋_GB2312" w:hAnsi="仿宋" w:eastAsia="仿宋_GB2312" w:cs="仿宋"/>
                <w:b w:val="0"/>
                <w:bCs w:val="0"/>
                <w:sz w:val="24"/>
                <w:szCs w:val="24"/>
                <w:highlight w:val="none"/>
                <w:lang w:val="en-US" w:eastAsia="zh-CN"/>
              </w:rPr>
              <w:t>2.供应商</w:t>
            </w:r>
            <w:r>
              <w:rPr>
                <w:rFonts w:hint="eastAsia" w:ascii="仿宋_GB2312" w:hAnsi="仿宋" w:eastAsia="仿宋_GB2312" w:cs="仿宋"/>
                <w:b w:val="0"/>
                <w:bCs w:val="0"/>
                <w:sz w:val="24"/>
                <w:szCs w:val="24"/>
                <w:highlight w:val="none"/>
              </w:rPr>
              <w:t>须提供专业软件评测机构出具的软件产品登记测试报告和计算机软件著作权登记证书</w:t>
            </w:r>
            <w:r>
              <w:rPr>
                <w:rFonts w:hint="eastAsia" w:ascii="仿宋_GB2312" w:hAnsi="仿宋" w:eastAsia="仿宋_GB2312" w:cs="仿宋"/>
                <w:b/>
                <w:bCs/>
                <w:sz w:val="24"/>
                <w:szCs w:val="24"/>
                <w:highlight w:val="none"/>
                <w:lang w:eastAsia="zh-CN"/>
              </w:rPr>
              <w:t>（</w:t>
            </w:r>
            <w:r>
              <w:rPr>
                <w:rFonts w:hint="eastAsia" w:ascii="仿宋_GB2312" w:hAnsi="仿宋" w:eastAsia="仿宋_GB2312" w:cs="仿宋"/>
                <w:b/>
                <w:bCs/>
                <w:sz w:val="24"/>
                <w:szCs w:val="24"/>
                <w:highlight w:val="none"/>
                <w:lang w:val="en-US" w:eastAsia="zh-CN"/>
              </w:rPr>
              <w:t>需提供复印件</w:t>
            </w:r>
            <w:r>
              <w:rPr>
                <w:rFonts w:hint="eastAsia" w:ascii="仿宋_GB2312" w:hAnsi="仿宋" w:eastAsia="仿宋_GB2312" w:cs="仿宋"/>
                <w:b/>
                <w:bCs/>
                <w:sz w:val="24"/>
                <w:szCs w:val="24"/>
                <w:highlight w:val="none"/>
              </w:rPr>
              <w:t>加盖</w:t>
            </w:r>
            <w:r>
              <w:rPr>
                <w:rFonts w:hint="eastAsia" w:ascii="仿宋_GB2312" w:hAnsi="仿宋" w:eastAsia="仿宋_GB2312" w:cs="仿宋"/>
                <w:b/>
                <w:bCs/>
                <w:sz w:val="24"/>
                <w:szCs w:val="24"/>
                <w:highlight w:val="none"/>
                <w:lang w:val="en-US" w:eastAsia="zh-CN"/>
              </w:rPr>
              <w:t>原厂商</w:t>
            </w:r>
            <w:r>
              <w:rPr>
                <w:rFonts w:hint="eastAsia" w:ascii="仿宋_GB2312" w:hAnsi="仿宋" w:eastAsia="仿宋_GB2312" w:cs="仿宋"/>
                <w:b/>
                <w:bCs/>
                <w:sz w:val="24"/>
                <w:szCs w:val="24"/>
                <w:highlight w:val="none"/>
              </w:rPr>
              <w:t>公章</w:t>
            </w:r>
            <w:r>
              <w:rPr>
                <w:rFonts w:hint="eastAsia" w:ascii="仿宋_GB2312" w:hAnsi="仿宋" w:eastAsia="仿宋_GB2312" w:cs="仿宋"/>
                <w:b/>
                <w:bCs/>
                <w:sz w:val="24"/>
                <w:szCs w:val="24"/>
                <w:highlight w:val="none"/>
                <w:lang w:val="en-US" w:eastAsia="zh-CN"/>
              </w:rPr>
              <w:t>并附在响应文件中</w:t>
            </w:r>
            <w:r>
              <w:rPr>
                <w:rFonts w:hint="eastAsia" w:ascii="仿宋_GB2312" w:hAnsi="仿宋" w:eastAsia="仿宋_GB2312" w:cs="仿宋"/>
                <w:b/>
                <w:bCs/>
                <w:sz w:val="24"/>
                <w:szCs w:val="24"/>
                <w:highlight w:val="none"/>
                <w:lang w:eastAsia="zh-CN"/>
              </w:rPr>
              <w:t>）</w:t>
            </w:r>
            <w:r>
              <w:rPr>
                <w:rFonts w:hint="eastAsia" w:ascii="仿宋_GB2312" w:hAnsi="仿宋" w:eastAsia="仿宋_GB2312" w:cs="仿宋"/>
                <w:b/>
                <w:bCs/>
                <w:sz w:val="24"/>
                <w:szCs w:val="24"/>
                <w:highlight w:val="none"/>
              </w:rPr>
              <w:t>。</w:t>
            </w:r>
          </w:p>
          <w:p>
            <w:pPr>
              <w:pStyle w:val="3"/>
              <w:keepNext w:val="0"/>
              <w:keepLines w:val="0"/>
              <w:pageBreakBefore w:val="0"/>
              <w:widowControl/>
              <w:numPr>
                <w:ilvl w:val="0"/>
                <w:numId w:val="12"/>
              </w:numPr>
              <w:kinsoku/>
              <w:wordWrap/>
              <w:overflowPunct/>
              <w:topLinePunct w:val="0"/>
              <w:autoSpaceDE w:val="0"/>
              <w:autoSpaceDN w:val="0"/>
              <w:bidi w:val="0"/>
              <w:adjustRightInd/>
              <w:snapToGrid/>
              <w:spacing w:after="0" w:line="240" w:lineRule="auto"/>
              <w:ind w:left="0" w:right="0" w:firstLine="0" w:firstLineChars="0"/>
              <w:jc w:val="both"/>
              <w:textAlignment w:val="auto"/>
              <w:rPr>
                <w:rFonts w:ascii="仿宋_GB2312" w:hAnsi="仿宋" w:eastAsia="仿宋_GB2312" w:cs="仿宋"/>
                <w:b w:val="0"/>
                <w:bCs w:val="0"/>
                <w:kern w:val="2"/>
                <w:sz w:val="24"/>
                <w:szCs w:val="24"/>
                <w:lang w:val="en-US"/>
              </w:rPr>
            </w:pPr>
            <w:r>
              <w:rPr>
                <w:rFonts w:hint="eastAsia" w:ascii="仿宋_GB2312" w:hAnsi="仿宋" w:eastAsia="仿宋_GB2312" w:cs="仿宋"/>
                <w:b w:val="0"/>
                <w:bCs w:val="0"/>
                <w:kern w:val="2"/>
                <w:sz w:val="24"/>
                <w:szCs w:val="24"/>
                <w:lang w:val="en-US"/>
              </w:rPr>
              <w:t>平台系统支持及服务响应标准</w:t>
            </w:r>
          </w:p>
          <w:p>
            <w:pPr>
              <w:pStyle w:val="36"/>
              <w:keepNext w:val="0"/>
              <w:keepLines w:val="0"/>
              <w:pageBreakBefore w:val="0"/>
              <w:widowControl/>
              <w:numPr>
                <w:ilvl w:val="0"/>
                <w:numId w:val="25"/>
              </w:numPr>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针对校内用户在使用软件管理与服务平台提供的各项功能中遇到的各种问题提供全面的技术支持服务，要求达到：</w:t>
            </w:r>
          </w:p>
          <w:p>
            <w:pPr>
              <w:pStyle w:val="36"/>
              <w:keepNext w:val="0"/>
              <w:keepLines w:val="0"/>
              <w:pageBreakBefore w:val="0"/>
              <w:widowControl/>
              <w:numPr>
                <w:ilvl w:val="0"/>
                <w:numId w:val="25"/>
              </w:numPr>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向校内用户提供软件管理与服务平台咨询使用提供5x8的技术支持服务；</w:t>
            </w:r>
          </w:p>
          <w:p>
            <w:pPr>
              <w:pStyle w:val="36"/>
              <w:keepNext w:val="0"/>
              <w:keepLines w:val="0"/>
              <w:pageBreakBefore w:val="0"/>
              <w:widowControl/>
              <w:numPr>
                <w:ilvl w:val="0"/>
                <w:numId w:val="25"/>
              </w:numPr>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提供技术专线服务，以电话、即时通讯、电子邮件的方式为校内用户提供技术支持服务；</w:t>
            </w:r>
          </w:p>
          <w:p>
            <w:pPr>
              <w:pStyle w:val="36"/>
              <w:keepNext w:val="0"/>
              <w:keepLines w:val="0"/>
              <w:pageBreakBefore w:val="0"/>
              <w:widowControl/>
              <w:numPr>
                <w:ilvl w:val="0"/>
                <w:numId w:val="25"/>
              </w:numPr>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服务需要做到即时响应，问题解决时间不得超过24小时。</w:t>
            </w:r>
          </w:p>
          <w:p>
            <w:pPr>
              <w:pStyle w:val="3"/>
              <w:keepNext w:val="0"/>
              <w:keepLines w:val="0"/>
              <w:pageBreakBefore w:val="0"/>
              <w:widowControl/>
              <w:numPr>
                <w:ilvl w:val="0"/>
                <w:numId w:val="12"/>
              </w:numPr>
              <w:kinsoku/>
              <w:wordWrap/>
              <w:overflowPunct/>
              <w:topLinePunct w:val="0"/>
              <w:autoSpaceDE w:val="0"/>
              <w:autoSpaceDN w:val="0"/>
              <w:bidi w:val="0"/>
              <w:adjustRightInd/>
              <w:snapToGrid/>
              <w:spacing w:after="0" w:line="240" w:lineRule="auto"/>
              <w:ind w:left="0" w:right="0" w:firstLine="0" w:firstLineChars="0"/>
              <w:jc w:val="both"/>
              <w:textAlignment w:val="auto"/>
              <w:rPr>
                <w:rFonts w:ascii="仿宋_GB2312" w:hAnsi="仿宋" w:eastAsia="仿宋_GB2312" w:cs="仿宋"/>
                <w:b w:val="0"/>
                <w:bCs w:val="0"/>
                <w:kern w:val="2"/>
                <w:sz w:val="24"/>
                <w:szCs w:val="24"/>
                <w:lang w:val="en-US"/>
              </w:rPr>
            </w:pPr>
            <w:r>
              <w:rPr>
                <w:rFonts w:hint="eastAsia" w:ascii="仿宋_GB2312" w:hAnsi="仿宋" w:eastAsia="仿宋_GB2312" w:cs="仿宋"/>
                <w:b w:val="0"/>
                <w:bCs w:val="0"/>
                <w:kern w:val="2"/>
                <w:sz w:val="24"/>
                <w:szCs w:val="24"/>
                <w:lang w:val="en-US"/>
              </w:rPr>
              <w:t>培训要求</w:t>
            </w:r>
          </w:p>
          <w:p>
            <w:pPr>
              <w:pStyle w:val="4"/>
              <w:keepNext w:val="0"/>
              <w:keepLines w:val="0"/>
              <w:pageBreakBefore w:val="0"/>
              <w:widowControl/>
              <w:numPr>
                <w:ilvl w:val="0"/>
                <w:numId w:val="26"/>
              </w:numPr>
              <w:kinsoku/>
              <w:wordWrap/>
              <w:overflowPunct/>
              <w:topLinePunct w:val="0"/>
              <w:autoSpaceDE w:val="0"/>
              <w:autoSpaceDN w:val="0"/>
              <w:bidi w:val="0"/>
              <w:adjustRightInd/>
              <w:snapToGrid/>
              <w:spacing w:after="0" w:line="240" w:lineRule="auto"/>
              <w:ind w:left="0" w:right="0" w:firstLine="0" w:firstLineChars="0"/>
              <w:textAlignment w:val="auto"/>
              <w:rPr>
                <w:rFonts w:ascii="仿宋_GB2312" w:hAnsi="仿宋" w:eastAsia="仿宋_GB2312" w:cs="仿宋"/>
                <w:b w:val="0"/>
                <w:bCs w:val="0"/>
                <w:sz w:val="24"/>
                <w:szCs w:val="24"/>
              </w:rPr>
            </w:pPr>
            <w:r>
              <w:rPr>
                <w:rFonts w:hint="eastAsia" w:ascii="仿宋_GB2312" w:hAnsi="仿宋" w:eastAsia="仿宋_GB2312" w:cs="仿宋"/>
                <w:b w:val="0"/>
                <w:bCs w:val="0"/>
                <w:sz w:val="24"/>
                <w:szCs w:val="24"/>
              </w:rPr>
              <w:t>平台服务提供商，提供每年不少于2次的培训服务，培训内容应当包括最新操作系统，办公软件、服务平台用户的使用、服务平台管理员、服务平台系统维护工作人员的培训，并制定培训计划和方案文档以及培训的其他相关文档。</w:t>
            </w:r>
          </w:p>
          <w:tbl>
            <w:tblPr>
              <w:tblStyle w:val="22"/>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6"/>
              <w:gridCol w:w="1560"/>
              <w:gridCol w:w="1417"/>
              <w:gridCol w:w="1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2206" w:type="dxa"/>
                </w:tcPr>
                <w:p>
                  <w:pPr>
                    <w:pStyle w:val="36"/>
                    <w:keepNext w:val="0"/>
                    <w:keepLines w:val="0"/>
                    <w:pageBreakBefore w:val="0"/>
                    <w:widowControl/>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课程名称</w:t>
                  </w:r>
                </w:p>
              </w:tc>
              <w:tc>
                <w:tcPr>
                  <w:tcW w:w="1560" w:type="dxa"/>
                </w:tcPr>
                <w:p>
                  <w:pPr>
                    <w:pStyle w:val="36"/>
                    <w:keepNext w:val="0"/>
                    <w:keepLines w:val="0"/>
                    <w:pageBreakBefore w:val="0"/>
                    <w:widowControl/>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提供的资料</w:t>
                  </w:r>
                </w:p>
              </w:tc>
              <w:tc>
                <w:tcPr>
                  <w:tcW w:w="1417" w:type="dxa"/>
                </w:tcPr>
                <w:p>
                  <w:pPr>
                    <w:pStyle w:val="36"/>
                    <w:keepNext w:val="0"/>
                    <w:keepLines w:val="0"/>
                    <w:pageBreakBefore w:val="0"/>
                    <w:widowControl/>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培训时长</w:t>
                  </w:r>
                </w:p>
              </w:tc>
              <w:tc>
                <w:tcPr>
                  <w:tcW w:w="1194" w:type="dxa"/>
                </w:tcPr>
                <w:p>
                  <w:pPr>
                    <w:pStyle w:val="36"/>
                    <w:keepNext w:val="0"/>
                    <w:keepLines w:val="0"/>
                    <w:pageBreakBefore w:val="0"/>
                    <w:widowControl/>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培训地点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2206" w:type="dxa"/>
                </w:tcPr>
                <w:p>
                  <w:pPr>
                    <w:pStyle w:val="36"/>
                    <w:keepNext w:val="0"/>
                    <w:keepLines w:val="0"/>
                    <w:pageBreakBefore w:val="0"/>
                    <w:widowControl/>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服务平台管理培训（管理员）</w:t>
                  </w:r>
                </w:p>
              </w:tc>
              <w:tc>
                <w:tcPr>
                  <w:tcW w:w="1560" w:type="dxa"/>
                </w:tcPr>
                <w:p>
                  <w:pPr>
                    <w:pStyle w:val="36"/>
                    <w:keepNext w:val="0"/>
                    <w:keepLines w:val="0"/>
                    <w:pageBreakBefore w:val="0"/>
                    <w:widowControl/>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电子版PPT</w:t>
                  </w:r>
                </w:p>
              </w:tc>
              <w:tc>
                <w:tcPr>
                  <w:tcW w:w="1417" w:type="dxa"/>
                </w:tcPr>
                <w:p>
                  <w:pPr>
                    <w:pStyle w:val="36"/>
                    <w:keepNext w:val="0"/>
                    <w:keepLines w:val="0"/>
                    <w:pageBreakBefore w:val="0"/>
                    <w:widowControl/>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≥2小时/次</w:t>
                  </w:r>
                </w:p>
              </w:tc>
              <w:tc>
                <w:tcPr>
                  <w:tcW w:w="1194" w:type="dxa"/>
                </w:tcPr>
                <w:p>
                  <w:pPr>
                    <w:pStyle w:val="36"/>
                    <w:keepNext w:val="0"/>
                    <w:keepLines w:val="0"/>
                    <w:pageBreakBefore w:val="0"/>
                    <w:widowControl/>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用户指定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2206" w:type="dxa"/>
                </w:tcPr>
                <w:p>
                  <w:pPr>
                    <w:pStyle w:val="36"/>
                    <w:keepNext w:val="0"/>
                    <w:keepLines w:val="0"/>
                    <w:pageBreakBefore w:val="0"/>
                    <w:widowControl/>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服务平台用户使用培训（用户）</w:t>
                  </w:r>
                </w:p>
              </w:tc>
              <w:tc>
                <w:tcPr>
                  <w:tcW w:w="1560" w:type="dxa"/>
                </w:tcPr>
                <w:p>
                  <w:pPr>
                    <w:pStyle w:val="36"/>
                    <w:keepNext w:val="0"/>
                    <w:keepLines w:val="0"/>
                    <w:pageBreakBefore w:val="0"/>
                    <w:widowControl/>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电子版PPT</w:t>
                  </w:r>
                </w:p>
              </w:tc>
              <w:tc>
                <w:tcPr>
                  <w:tcW w:w="1417" w:type="dxa"/>
                </w:tcPr>
                <w:p>
                  <w:pPr>
                    <w:pStyle w:val="36"/>
                    <w:keepNext w:val="0"/>
                    <w:keepLines w:val="0"/>
                    <w:pageBreakBefore w:val="0"/>
                    <w:widowControl/>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≥1小时/次</w:t>
                  </w:r>
                </w:p>
              </w:tc>
              <w:tc>
                <w:tcPr>
                  <w:tcW w:w="1194" w:type="dxa"/>
                </w:tcPr>
                <w:p>
                  <w:pPr>
                    <w:pStyle w:val="36"/>
                    <w:keepNext w:val="0"/>
                    <w:keepLines w:val="0"/>
                    <w:pageBreakBefore w:val="0"/>
                    <w:widowControl/>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用户指定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2206" w:type="dxa"/>
                </w:tcPr>
                <w:p>
                  <w:pPr>
                    <w:pStyle w:val="36"/>
                    <w:keepNext w:val="0"/>
                    <w:keepLines w:val="0"/>
                    <w:pageBreakBefore w:val="0"/>
                    <w:widowControl/>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软件产品使用技巧培训（用户）</w:t>
                  </w:r>
                </w:p>
              </w:tc>
              <w:tc>
                <w:tcPr>
                  <w:tcW w:w="1560" w:type="dxa"/>
                </w:tcPr>
                <w:p>
                  <w:pPr>
                    <w:pStyle w:val="36"/>
                    <w:keepNext w:val="0"/>
                    <w:keepLines w:val="0"/>
                    <w:pageBreakBefore w:val="0"/>
                    <w:widowControl/>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电子版PPT</w:t>
                  </w:r>
                </w:p>
              </w:tc>
              <w:tc>
                <w:tcPr>
                  <w:tcW w:w="1417" w:type="dxa"/>
                </w:tcPr>
                <w:p>
                  <w:pPr>
                    <w:pStyle w:val="36"/>
                    <w:keepNext w:val="0"/>
                    <w:keepLines w:val="0"/>
                    <w:pageBreakBefore w:val="0"/>
                    <w:widowControl/>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≥1小时/次</w:t>
                  </w:r>
                </w:p>
              </w:tc>
              <w:tc>
                <w:tcPr>
                  <w:tcW w:w="1194" w:type="dxa"/>
                </w:tcPr>
                <w:p>
                  <w:pPr>
                    <w:pStyle w:val="36"/>
                    <w:keepNext w:val="0"/>
                    <w:keepLines w:val="0"/>
                    <w:pageBreakBefore w:val="0"/>
                    <w:widowControl/>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用户指定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206" w:type="dxa"/>
                </w:tcPr>
                <w:p>
                  <w:pPr>
                    <w:pStyle w:val="36"/>
                    <w:keepNext w:val="0"/>
                    <w:keepLines w:val="0"/>
                    <w:pageBreakBefore w:val="0"/>
                    <w:widowControl/>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服务平台系统维护人培训（运维人员）</w:t>
                  </w:r>
                </w:p>
              </w:tc>
              <w:tc>
                <w:tcPr>
                  <w:tcW w:w="1560" w:type="dxa"/>
                </w:tcPr>
                <w:p>
                  <w:pPr>
                    <w:pStyle w:val="36"/>
                    <w:keepNext w:val="0"/>
                    <w:keepLines w:val="0"/>
                    <w:pageBreakBefore w:val="0"/>
                    <w:widowControl/>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电子版PPT</w:t>
                  </w:r>
                </w:p>
              </w:tc>
              <w:tc>
                <w:tcPr>
                  <w:tcW w:w="1417" w:type="dxa"/>
                </w:tcPr>
                <w:p>
                  <w:pPr>
                    <w:pStyle w:val="36"/>
                    <w:keepNext w:val="0"/>
                    <w:keepLines w:val="0"/>
                    <w:pageBreakBefore w:val="0"/>
                    <w:widowControl/>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≥2小时/次</w:t>
                  </w:r>
                </w:p>
              </w:tc>
              <w:tc>
                <w:tcPr>
                  <w:tcW w:w="1194" w:type="dxa"/>
                </w:tcPr>
                <w:p>
                  <w:pPr>
                    <w:pStyle w:val="36"/>
                    <w:keepNext w:val="0"/>
                    <w:keepLines w:val="0"/>
                    <w:pageBreakBefore w:val="0"/>
                    <w:widowControl/>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用户指定</w:t>
                  </w:r>
                </w:p>
              </w:tc>
            </w:tr>
          </w:tbl>
          <w:p>
            <w:pPr>
              <w:pStyle w:val="4"/>
              <w:keepNext w:val="0"/>
              <w:keepLines w:val="0"/>
              <w:pageBreakBefore w:val="0"/>
              <w:widowControl/>
              <w:numPr>
                <w:ilvl w:val="0"/>
                <w:numId w:val="26"/>
              </w:numPr>
              <w:kinsoku/>
              <w:wordWrap/>
              <w:overflowPunct/>
              <w:topLinePunct w:val="0"/>
              <w:autoSpaceDE w:val="0"/>
              <w:autoSpaceDN w:val="0"/>
              <w:bidi w:val="0"/>
              <w:adjustRightInd/>
              <w:snapToGrid/>
              <w:spacing w:after="0" w:line="240" w:lineRule="auto"/>
              <w:ind w:left="0" w:right="0" w:firstLine="0" w:firstLineChars="0"/>
              <w:textAlignment w:val="auto"/>
              <w:rPr>
                <w:rFonts w:ascii="仿宋_GB2312" w:hAnsi="仿宋" w:eastAsia="仿宋_GB2312" w:cs="仿宋"/>
                <w:b w:val="0"/>
                <w:bCs w:val="0"/>
                <w:sz w:val="24"/>
                <w:szCs w:val="24"/>
              </w:rPr>
            </w:pPr>
            <w:r>
              <w:rPr>
                <w:rFonts w:hint="eastAsia" w:ascii="仿宋_GB2312" w:hAnsi="仿宋" w:eastAsia="仿宋_GB2312" w:cs="仿宋"/>
                <w:b w:val="0"/>
                <w:bCs w:val="0"/>
                <w:sz w:val="24"/>
                <w:szCs w:val="24"/>
              </w:rPr>
              <w:t>培训提供相关文档：</w:t>
            </w:r>
          </w:p>
          <w:p>
            <w:pPr>
              <w:pStyle w:val="36"/>
              <w:keepNext w:val="0"/>
              <w:keepLines w:val="0"/>
              <w:pageBreakBefore w:val="0"/>
              <w:widowControl/>
              <w:numPr>
                <w:ilvl w:val="1"/>
                <w:numId w:val="26"/>
              </w:numPr>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培训方案</w:t>
            </w:r>
          </w:p>
          <w:p>
            <w:pPr>
              <w:pStyle w:val="36"/>
              <w:keepNext w:val="0"/>
              <w:keepLines w:val="0"/>
              <w:pageBreakBefore w:val="0"/>
              <w:widowControl/>
              <w:numPr>
                <w:ilvl w:val="1"/>
                <w:numId w:val="26"/>
              </w:numPr>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服务平台使用手册</w:t>
            </w:r>
          </w:p>
          <w:p>
            <w:pPr>
              <w:pStyle w:val="36"/>
              <w:keepNext w:val="0"/>
              <w:keepLines w:val="0"/>
              <w:pageBreakBefore w:val="0"/>
              <w:widowControl/>
              <w:numPr>
                <w:ilvl w:val="1"/>
                <w:numId w:val="26"/>
              </w:numPr>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服务平台管理后台使用手册</w:t>
            </w:r>
          </w:p>
          <w:p>
            <w:pPr>
              <w:pStyle w:val="36"/>
              <w:keepNext w:val="0"/>
              <w:keepLines w:val="0"/>
              <w:pageBreakBefore w:val="0"/>
              <w:widowControl/>
              <w:numPr>
                <w:ilvl w:val="1"/>
                <w:numId w:val="26"/>
              </w:numPr>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批量激活客户端使用手册</w:t>
            </w:r>
          </w:p>
          <w:p>
            <w:pPr>
              <w:pStyle w:val="36"/>
              <w:keepNext w:val="0"/>
              <w:keepLines w:val="0"/>
              <w:pageBreakBefore w:val="0"/>
              <w:widowControl/>
              <w:numPr>
                <w:ilvl w:val="1"/>
                <w:numId w:val="26"/>
              </w:numPr>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服务平台使用注意事项及常见问题处理方案</w:t>
            </w:r>
          </w:p>
          <w:p>
            <w:pPr>
              <w:pStyle w:val="36"/>
              <w:keepNext w:val="0"/>
              <w:keepLines w:val="0"/>
              <w:pageBreakBefore w:val="0"/>
              <w:widowControl/>
              <w:numPr>
                <w:ilvl w:val="1"/>
                <w:numId w:val="26"/>
              </w:numPr>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服务平台部署实施技术方案</w:t>
            </w:r>
          </w:p>
          <w:p>
            <w:pPr>
              <w:pStyle w:val="36"/>
              <w:keepNext w:val="0"/>
              <w:keepLines w:val="0"/>
              <w:pageBreakBefore w:val="0"/>
              <w:widowControl/>
              <w:numPr>
                <w:ilvl w:val="1"/>
                <w:numId w:val="26"/>
              </w:numPr>
              <w:kinsoku/>
              <w:wordWrap/>
              <w:overflowPunct/>
              <w:topLinePunct w:val="0"/>
              <w:bidi w:val="0"/>
              <w:adjustRightInd/>
              <w:snapToGrid/>
              <w:spacing w:before="0"/>
              <w:ind w:left="0" w:righ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服务平台部署实施手册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Align w:val="center"/>
          </w:tcPr>
          <w:p>
            <w:pPr>
              <w:keepNext w:val="0"/>
              <w:keepLines w:val="0"/>
              <w:pageBreakBefore w:val="0"/>
              <w:widowControl/>
              <w:kinsoku/>
              <w:overflowPunct/>
              <w:topLinePunct w:val="0"/>
              <w:bidi w:val="0"/>
              <w:adjustRightInd/>
              <w:snapToGrid/>
              <w:ind w:right="-77" w:rightChars="-32" w:firstLine="0" w:firstLineChars="0"/>
              <w:jc w:val="center"/>
              <w:textAlignment w:val="auto"/>
              <w:rPr>
                <w:rFonts w:ascii="仿宋_GB2312" w:hAnsi="仿宋" w:eastAsia="仿宋_GB2312" w:cs="仿宋"/>
                <w:sz w:val="24"/>
                <w:szCs w:val="24"/>
              </w:rPr>
            </w:pPr>
            <w:r>
              <w:rPr>
                <w:rFonts w:hint="eastAsia" w:ascii="仿宋_GB2312" w:hAnsi="仿宋" w:eastAsia="仿宋_GB2312" w:cs="仿宋"/>
                <w:sz w:val="24"/>
                <w:szCs w:val="24"/>
              </w:rPr>
              <w:t>重点技术服务参数要求</w:t>
            </w: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b/>
                <w:bCs/>
                <w:sz w:val="24"/>
                <w:szCs w:val="24"/>
              </w:rPr>
            </w:pPr>
            <w:r>
              <w:rPr>
                <w:rFonts w:ascii="仿宋_GB2312" w:hAnsi="仿宋" w:eastAsia="仿宋_GB2312" w:cs="仿宋"/>
                <w:sz w:val="24"/>
                <w:szCs w:val="24"/>
              </w:rPr>
              <w:t>1.系统架构和部署：系统采用单域名架构，支持IP直接访问。</w:t>
            </w:r>
            <w:r>
              <w:rPr>
                <w:rFonts w:ascii="仿宋_GB2312" w:hAnsi="仿宋" w:eastAsia="仿宋_GB2312" w:cs="仿宋"/>
                <w:b/>
                <w:bCs/>
                <w:sz w:val="24"/>
                <w:szCs w:val="24"/>
              </w:rPr>
              <w:t>（需提供截图证明</w:t>
            </w:r>
            <w:r>
              <w:rPr>
                <w:rFonts w:hint="eastAsia" w:ascii="仿宋_GB2312" w:hAnsi="仿宋" w:eastAsia="仿宋_GB2312" w:cs="仿宋"/>
                <w:b/>
                <w:bCs/>
                <w:sz w:val="24"/>
                <w:szCs w:val="24"/>
                <w:lang w:val="en-US" w:eastAsia="zh-CN"/>
              </w:rPr>
              <w:t>并附在响应文件中</w:t>
            </w:r>
            <w:r>
              <w:rPr>
                <w:rFonts w:ascii="仿宋_GB2312" w:hAnsi="仿宋" w:eastAsia="仿宋_GB2312" w:cs="仿宋"/>
                <w:b/>
                <w:bCs/>
                <w:sz w:val="24"/>
                <w:szCs w:val="24"/>
              </w:rPr>
              <w:t>）</w:t>
            </w:r>
          </w:p>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ascii="仿宋_GB2312" w:hAnsi="仿宋" w:eastAsia="仿宋_GB2312" w:cs="仿宋"/>
                <w:sz w:val="24"/>
                <w:szCs w:val="24"/>
              </w:rPr>
              <w:t>2.用户的组织架构：用户部门除了支持完全的属性组织架构外，还支持扁平灵活的分组组织结架构。用户必须隶属于一个部门，可以同时属于0个或多个分组。</w:t>
            </w:r>
            <w:r>
              <w:rPr>
                <w:rFonts w:ascii="仿宋_GB2312" w:hAnsi="仿宋" w:eastAsia="仿宋_GB2312" w:cs="仿宋"/>
                <w:b/>
                <w:bCs/>
                <w:sz w:val="24"/>
                <w:szCs w:val="24"/>
              </w:rPr>
              <w:t>（需提供截图证明</w:t>
            </w:r>
            <w:r>
              <w:rPr>
                <w:rFonts w:hint="eastAsia" w:ascii="仿宋_GB2312" w:hAnsi="仿宋" w:eastAsia="仿宋_GB2312" w:cs="仿宋"/>
                <w:b/>
                <w:bCs/>
                <w:sz w:val="24"/>
                <w:szCs w:val="24"/>
                <w:lang w:val="en-US" w:eastAsia="zh-CN"/>
              </w:rPr>
              <w:t>并附在响应文件中</w:t>
            </w:r>
            <w:r>
              <w:rPr>
                <w:rFonts w:ascii="仿宋_GB2312" w:hAnsi="仿宋" w:eastAsia="仿宋_GB2312" w:cs="仿宋"/>
                <w:b/>
                <w:bCs/>
                <w:sz w:val="24"/>
                <w:szCs w:val="24"/>
              </w:rPr>
              <w:t>）</w:t>
            </w:r>
          </w:p>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ascii="仿宋_GB2312" w:hAnsi="仿宋" w:eastAsia="仿宋_GB2312" w:cs="仿宋"/>
                <w:sz w:val="24"/>
                <w:szCs w:val="24"/>
              </w:rPr>
              <w:t>3.文章、视频、软件等资源的管理和升级功能：</w:t>
            </w:r>
          </w:p>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b/>
                <w:bCs/>
                <w:sz w:val="24"/>
                <w:szCs w:val="24"/>
              </w:rPr>
            </w:pPr>
            <w:r>
              <w:rPr>
                <w:rFonts w:ascii="仿宋_GB2312" w:hAnsi="仿宋" w:eastAsia="仿宋_GB2312" w:cs="仿宋"/>
                <w:sz w:val="24"/>
                <w:szCs w:val="24"/>
              </w:rPr>
              <w:t>3.1系统具备一个完整的文档和视频的常见问题和使用技巧的知识库，并且该库一直处于持续更新中。客户系统在可以访问改知识库的情况下，可以实现客户系统的文档和视频知识库的实时更新。</w:t>
            </w:r>
            <w:r>
              <w:rPr>
                <w:rFonts w:ascii="仿宋_GB2312" w:hAnsi="仿宋" w:eastAsia="仿宋_GB2312" w:cs="仿宋"/>
                <w:b/>
                <w:bCs/>
                <w:sz w:val="24"/>
                <w:szCs w:val="24"/>
              </w:rPr>
              <w:t>（需提供截图证明</w:t>
            </w:r>
            <w:r>
              <w:rPr>
                <w:rFonts w:hint="eastAsia" w:ascii="仿宋_GB2312" w:hAnsi="仿宋" w:eastAsia="仿宋_GB2312" w:cs="仿宋"/>
                <w:b/>
                <w:bCs/>
                <w:sz w:val="24"/>
                <w:szCs w:val="24"/>
                <w:lang w:val="en-US" w:eastAsia="zh-CN"/>
              </w:rPr>
              <w:t>并附在响应文件中</w:t>
            </w:r>
            <w:r>
              <w:rPr>
                <w:rFonts w:ascii="仿宋_GB2312" w:hAnsi="仿宋" w:eastAsia="仿宋_GB2312" w:cs="仿宋"/>
                <w:b/>
                <w:bCs/>
                <w:sz w:val="24"/>
                <w:szCs w:val="24"/>
              </w:rPr>
              <w:t>）</w:t>
            </w:r>
          </w:p>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b/>
                <w:bCs/>
                <w:sz w:val="24"/>
                <w:szCs w:val="24"/>
              </w:rPr>
            </w:pPr>
            <w:r>
              <w:rPr>
                <w:rFonts w:ascii="仿宋_GB2312" w:hAnsi="仿宋" w:eastAsia="仿宋_GB2312" w:cs="仿宋"/>
                <w:sz w:val="24"/>
                <w:szCs w:val="24"/>
              </w:rPr>
              <w:t>3.2系统提供正版软件资源、免费（PC或移动端）软件资源（包括软件安装包、软件图片、正版软件的安装步骤和介绍配置需求等内容），并且一直处于持续更新中。客户系统在可以访问该软件资源库的情况下，客户系统的软件资源库可以实现一个月一次的更新频率。</w:t>
            </w:r>
            <w:r>
              <w:rPr>
                <w:rFonts w:ascii="仿宋_GB2312" w:hAnsi="仿宋" w:eastAsia="仿宋_GB2312" w:cs="仿宋"/>
                <w:b/>
                <w:bCs/>
                <w:sz w:val="24"/>
                <w:szCs w:val="24"/>
              </w:rPr>
              <w:t>（需提供截图证明</w:t>
            </w:r>
            <w:r>
              <w:rPr>
                <w:rFonts w:hint="eastAsia" w:ascii="仿宋_GB2312" w:hAnsi="仿宋" w:eastAsia="仿宋_GB2312" w:cs="仿宋"/>
                <w:b/>
                <w:bCs/>
                <w:sz w:val="24"/>
                <w:szCs w:val="24"/>
                <w:lang w:val="en-US" w:eastAsia="zh-CN"/>
              </w:rPr>
              <w:t>并附在响应文件中</w:t>
            </w:r>
            <w:r>
              <w:rPr>
                <w:rFonts w:ascii="仿宋_GB2312" w:hAnsi="仿宋" w:eastAsia="仿宋_GB2312" w:cs="仿宋"/>
                <w:b/>
                <w:bCs/>
                <w:sz w:val="24"/>
                <w:szCs w:val="24"/>
              </w:rPr>
              <w:t>）</w:t>
            </w:r>
          </w:p>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ascii="仿宋_GB2312" w:hAnsi="仿宋" w:eastAsia="仿宋_GB2312" w:cs="仿宋"/>
                <w:sz w:val="24"/>
                <w:szCs w:val="24"/>
              </w:rPr>
              <w:t>4.客户端功能：至少包括正版软件激活功能、系统自动更新和更新服务器设置功能、正版软件检测功能</w:t>
            </w:r>
            <w:r>
              <w:rPr>
                <w:rFonts w:ascii="仿宋_GB2312" w:hAnsi="仿宋" w:eastAsia="仿宋_GB2312" w:cs="仿宋"/>
                <w:b/>
                <w:bCs/>
                <w:sz w:val="24"/>
                <w:szCs w:val="24"/>
              </w:rPr>
              <w:t>（需提供截图证明</w:t>
            </w:r>
            <w:r>
              <w:rPr>
                <w:rFonts w:hint="eastAsia" w:ascii="仿宋_GB2312" w:hAnsi="仿宋" w:eastAsia="仿宋_GB2312" w:cs="仿宋"/>
                <w:b/>
                <w:bCs/>
                <w:sz w:val="24"/>
                <w:szCs w:val="24"/>
                <w:lang w:val="en-US" w:eastAsia="zh-CN"/>
              </w:rPr>
              <w:t>并附在响应文件中</w:t>
            </w:r>
            <w:r>
              <w:rPr>
                <w:rFonts w:ascii="仿宋_GB2312" w:hAnsi="仿宋" w:eastAsia="仿宋_GB2312" w:cs="仿宋"/>
                <w:b/>
                <w:bCs/>
                <w:sz w:val="24"/>
                <w:szCs w:val="24"/>
              </w:rPr>
              <w:t>）</w:t>
            </w:r>
          </w:p>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b/>
                <w:bCs/>
                <w:sz w:val="24"/>
                <w:szCs w:val="24"/>
              </w:rPr>
            </w:pPr>
            <w:r>
              <w:rPr>
                <w:rFonts w:ascii="仿宋_GB2312" w:hAnsi="仿宋" w:eastAsia="仿宋_GB2312" w:cs="仿宋"/>
                <w:sz w:val="24"/>
                <w:szCs w:val="24"/>
              </w:rPr>
              <w:t>5.授权资源管理功能：系统可以对密钥激活、服务器激活、内置密钥激活、统一身份认证登录激活、订阅式授权等方式进行管理。</w:t>
            </w:r>
            <w:r>
              <w:rPr>
                <w:rFonts w:ascii="仿宋_GB2312" w:hAnsi="仿宋" w:eastAsia="仿宋_GB2312" w:cs="仿宋"/>
                <w:b/>
                <w:bCs/>
                <w:sz w:val="24"/>
                <w:szCs w:val="24"/>
              </w:rPr>
              <w:t>（需提供截图证明</w:t>
            </w:r>
            <w:r>
              <w:rPr>
                <w:rFonts w:hint="eastAsia" w:ascii="仿宋_GB2312" w:hAnsi="仿宋" w:eastAsia="仿宋_GB2312" w:cs="仿宋"/>
                <w:b/>
                <w:bCs/>
                <w:sz w:val="24"/>
                <w:szCs w:val="24"/>
                <w:lang w:val="en-US" w:eastAsia="zh-CN"/>
              </w:rPr>
              <w:t>并附在响应文件中</w:t>
            </w:r>
            <w:r>
              <w:rPr>
                <w:rFonts w:ascii="仿宋_GB2312" w:hAnsi="仿宋" w:eastAsia="仿宋_GB2312" w:cs="仿宋"/>
                <w:b/>
                <w:bCs/>
                <w:sz w:val="24"/>
                <w:szCs w:val="24"/>
              </w:rPr>
              <w:t>）</w:t>
            </w:r>
          </w:p>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b/>
                <w:bCs/>
                <w:sz w:val="24"/>
                <w:szCs w:val="24"/>
              </w:rPr>
            </w:pPr>
            <w:r>
              <w:rPr>
                <w:rFonts w:ascii="仿宋_GB2312" w:hAnsi="仿宋" w:eastAsia="仿宋_GB2312" w:cs="仿宋"/>
                <w:sz w:val="24"/>
                <w:szCs w:val="24"/>
              </w:rPr>
              <w:t>6.日志管理功能：至少包括授权资源分配记录、激活记录、软件下载日志等功能</w:t>
            </w:r>
            <w:r>
              <w:rPr>
                <w:rFonts w:ascii="仿宋_GB2312" w:hAnsi="仿宋" w:eastAsia="仿宋_GB2312" w:cs="仿宋"/>
                <w:b/>
                <w:bCs/>
                <w:sz w:val="24"/>
                <w:szCs w:val="24"/>
              </w:rPr>
              <w:t>（需提供截图证明</w:t>
            </w:r>
            <w:r>
              <w:rPr>
                <w:rFonts w:hint="eastAsia" w:ascii="仿宋_GB2312" w:hAnsi="仿宋" w:eastAsia="仿宋_GB2312" w:cs="仿宋"/>
                <w:b/>
                <w:bCs/>
                <w:sz w:val="24"/>
                <w:szCs w:val="24"/>
                <w:lang w:val="en-US" w:eastAsia="zh-CN"/>
              </w:rPr>
              <w:t>并附在响应文件中</w:t>
            </w:r>
            <w:r>
              <w:rPr>
                <w:rFonts w:ascii="仿宋_GB2312" w:hAnsi="仿宋" w:eastAsia="仿宋_GB2312" w:cs="仿宋"/>
                <w:b/>
                <w:bCs/>
                <w:sz w:val="24"/>
                <w:szCs w:val="24"/>
              </w:rPr>
              <w:t>）</w:t>
            </w:r>
          </w:p>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b/>
                <w:bCs/>
                <w:sz w:val="24"/>
                <w:szCs w:val="24"/>
              </w:rPr>
            </w:pPr>
            <w:r>
              <w:rPr>
                <w:rFonts w:ascii="仿宋_GB2312" w:hAnsi="仿宋" w:eastAsia="仿宋_GB2312" w:cs="仿宋"/>
                <w:sz w:val="24"/>
                <w:szCs w:val="24"/>
              </w:rPr>
              <w:t>7.统计图表功能：系统会对用户注册、授权资源分配、授权资源使用、软件下载、正版软件检测等信息以部门/分组、身份类型、时间（年、月、日等）进行多维度的统计。并且支持以Excel的格式对数据进行导出。</w:t>
            </w:r>
            <w:r>
              <w:rPr>
                <w:rFonts w:ascii="仿宋_GB2312" w:hAnsi="仿宋" w:eastAsia="仿宋_GB2312" w:cs="仿宋"/>
                <w:b/>
                <w:bCs/>
                <w:sz w:val="24"/>
                <w:szCs w:val="24"/>
              </w:rPr>
              <w:t>（需提供截图证明</w:t>
            </w:r>
            <w:r>
              <w:rPr>
                <w:rFonts w:hint="eastAsia" w:ascii="仿宋_GB2312" w:hAnsi="仿宋" w:eastAsia="仿宋_GB2312" w:cs="仿宋"/>
                <w:b/>
                <w:bCs/>
                <w:sz w:val="24"/>
                <w:szCs w:val="24"/>
                <w:lang w:val="en-US" w:eastAsia="zh-CN"/>
              </w:rPr>
              <w:t>并附在响应文件中</w:t>
            </w:r>
            <w:r>
              <w:rPr>
                <w:rFonts w:ascii="仿宋_GB2312" w:hAnsi="仿宋" w:eastAsia="仿宋_GB2312" w:cs="仿宋"/>
                <w:b/>
                <w:bCs/>
                <w:sz w:val="24"/>
                <w:szCs w:val="24"/>
              </w:rPr>
              <w:t>）</w:t>
            </w:r>
          </w:p>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ascii="仿宋_GB2312" w:hAnsi="仿宋" w:eastAsia="仿宋_GB2312" w:cs="仿宋"/>
                <w:sz w:val="24"/>
                <w:szCs w:val="24"/>
              </w:rPr>
              <w:t>8.平台具有兼容国产、信创产品功能：比如国产办公软件（永中 office、福昕 PDF、友虹 OFD等）软件下载试用功能模块，并根据学校需求定制化。</w:t>
            </w:r>
            <w:r>
              <w:rPr>
                <w:rFonts w:ascii="仿宋_GB2312" w:hAnsi="仿宋" w:eastAsia="仿宋_GB2312" w:cs="仿宋"/>
                <w:b/>
                <w:bCs/>
                <w:sz w:val="24"/>
                <w:szCs w:val="24"/>
              </w:rPr>
              <w:t>（需提供截图证明</w:t>
            </w:r>
            <w:r>
              <w:rPr>
                <w:rFonts w:hint="eastAsia" w:ascii="仿宋_GB2312" w:hAnsi="仿宋" w:eastAsia="仿宋_GB2312" w:cs="仿宋"/>
                <w:b/>
                <w:bCs/>
                <w:sz w:val="24"/>
                <w:szCs w:val="24"/>
                <w:lang w:val="en-US" w:eastAsia="zh-CN"/>
              </w:rPr>
              <w:t>并附在响应文件中</w:t>
            </w:r>
            <w:r>
              <w:rPr>
                <w:rFonts w:ascii="仿宋_GB2312" w:hAnsi="仿宋" w:eastAsia="仿宋_GB2312" w:cs="仿宋"/>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Align w:val="center"/>
          </w:tcPr>
          <w:p>
            <w:pPr>
              <w:keepNext w:val="0"/>
              <w:keepLines w:val="0"/>
              <w:pageBreakBefore w:val="0"/>
              <w:widowControl/>
              <w:kinsoku/>
              <w:overflowPunct/>
              <w:topLinePunct w:val="0"/>
              <w:bidi w:val="0"/>
              <w:adjustRightInd/>
              <w:snapToGrid/>
              <w:ind w:right="-77" w:rightChars="-32" w:firstLine="0" w:firstLineChars="0"/>
              <w:jc w:val="center"/>
              <w:textAlignment w:val="auto"/>
              <w:rPr>
                <w:rFonts w:ascii="仿宋_GB2312" w:hAnsi="仿宋" w:eastAsia="仿宋_GB2312" w:cs="仿宋"/>
                <w:sz w:val="24"/>
                <w:szCs w:val="24"/>
              </w:rPr>
            </w:pPr>
            <w:r>
              <w:rPr>
                <w:rFonts w:hint="eastAsia" w:ascii="仿宋_GB2312" w:hAnsi="仿宋" w:eastAsia="仿宋_GB2312" w:cs="仿宋"/>
                <w:sz w:val="24"/>
                <w:szCs w:val="24"/>
              </w:rPr>
              <w:t>集成服务要求</w:t>
            </w:r>
          </w:p>
        </w:tc>
        <w:tc>
          <w:tcPr>
            <w:tcW w:w="7245" w:type="dxa"/>
            <w:vAlign w:val="center"/>
          </w:tcPr>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highlight w:val="red"/>
              </w:rPr>
            </w:pPr>
            <w:r>
              <w:rPr>
                <w:rFonts w:ascii="仿宋_GB2312" w:hAnsi="仿宋" w:eastAsia="仿宋_GB2312" w:cs="仿宋"/>
                <w:sz w:val="24"/>
                <w:szCs w:val="24"/>
              </w:rPr>
              <w:t>1.</w:t>
            </w:r>
            <w:r>
              <w:rPr>
                <w:rFonts w:ascii="仿宋_GB2312" w:hAnsi="仿宋" w:eastAsia="仿宋_GB2312" w:cs="仿宋"/>
                <w:sz w:val="24"/>
                <w:szCs w:val="24"/>
              </w:rPr>
              <w:tab/>
            </w:r>
            <w:r>
              <w:rPr>
                <w:rFonts w:ascii="仿宋_GB2312" w:hAnsi="仿宋" w:eastAsia="仿宋_GB2312" w:cs="仿宋"/>
                <w:sz w:val="24"/>
                <w:szCs w:val="24"/>
              </w:rPr>
              <w:t>要求依照采购人统一身份认证平台的接口规范，实现单点登陆升级，并集成到统一身份认证系统中或根据学校相关集成要求，实现其它方式集成；</w:t>
            </w:r>
          </w:p>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lang w:val="en-US" w:eastAsia="zh-CN"/>
              </w:rPr>
              <w:t>2</w:t>
            </w:r>
            <w:r>
              <w:rPr>
                <w:rFonts w:ascii="仿宋_GB2312" w:hAnsi="仿宋" w:eastAsia="仿宋_GB2312" w:cs="仿宋"/>
                <w:sz w:val="24"/>
                <w:szCs w:val="24"/>
              </w:rPr>
              <w:t>.</w:t>
            </w:r>
            <w:r>
              <w:rPr>
                <w:rFonts w:ascii="仿宋_GB2312" w:hAnsi="仿宋" w:eastAsia="仿宋_GB2312" w:cs="仿宋"/>
                <w:sz w:val="24"/>
                <w:szCs w:val="24"/>
              </w:rPr>
              <w:tab/>
            </w:r>
            <w:r>
              <w:rPr>
                <w:rFonts w:ascii="仿宋_GB2312" w:hAnsi="仿宋" w:eastAsia="仿宋_GB2312" w:cs="仿宋"/>
                <w:sz w:val="24"/>
                <w:szCs w:val="24"/>
              </w:rPr>
              <w:t>平台具有兼容国产、信创产品功能：比如国产操作系统（统信UOS、麒麟等）、国产办公软件（永中 office、金山 wps、福昕 PDF、友虹 OFD等）软件下载试用功能模块，并根据学校需求定制化。</w:t>
            </w:r>
          </w:p>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lang w:val="en-US" w:eastAsia="zh-CN"/>
              </w:rPr>
              <w:t>3</w:t>
            </w:r>
            <w:r>
              <w:rPr>
                <w:rFonts w:ascii="仿宋_GB2312" w:hAnsi="仿宋" w:eastAsia="仿宋_GB2312" w:cs="仿宋"/>
                <w:sz w:val="24"/>
                <w:szCs w:val="24"/>
              </w:rPr>
              <w:t>.</w:t>
            </w:r>
            <w:r>
              <w:rPr>
                <w:rFonts w:ascii="仿宋_GB2312" w:hAnsi="仿宋" w:eastAsia="仿宋_GB2312" w:cs="仿宋"/>
                <w:sz w:val="24"/>
                <w:szCs w:val="24"/>
              </w:rPr>
              <w:tab/>
            </w:r>
            <w:r>
              <w:rPr>
                <w:rFonts w:ascii="仿宋_GB2312" w:hAnsi="仿宋" w:eastAsia="仿宋_GB2312" w:cs="仿宋"/>
                <w:sz w:val="24"/>
                <w:szCs w:val="24"/>
              </w:rPr>
              <w:t>软件管理：可通过该模块对校内提供的各项软件服务进行管理和维护，通过上传和发布功能在软件库中更新和维护软件的信息。</w:t>
            </w:r>
          </w:p>
          <w:p>
            <w:pPr>
              <w:keepNext w:val="0"/>
              <w:keepLines w:val="0"/>
              <w:pageBreakBefore w:val="0"/>
              <w:widowControl/>
              <w:kinsoku/>
              <w:overflowPunct/>
              <w:topLinePunct w:val="0"/>
              <w:bidi w:val="0"/>
              <w:adjustRightInd/>
              <w:snapToGrid/>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lang w:val="en-US" w:eastAsia="zh-CN"/>
              </w:rPr>
              <w:t>4</w:t>
            </w:r>
            <w:r>
              <w:rPr>
                <w:rFonts w:ascii="仿宋_GB2312" w:hAnsi="仿宋" w:eastAsia="仿宋_GB2312" w:cs="仿宋"/>
                <w:sz w:val="24"/>
                <w:szCs w:val="24"/>
              </w:rPr>
              <w:t>.</w:t>
            </w:r>
            <w:r>
              <w:rPr>
                <w:rFonts w:ascii="仿宋_GB2312" w:hAnsi="仿宋" w:eastAsia="仿宋_GB2312" w:cs="仿宋"/>
                <w:sz w:val="24"/>
                <w:szCs w:val="24"/>
              </w:rPr>
              <w:tab/>
            </w:r>
            <w:r>
              <w:rPr>
                <w:rFonts w:ascii="仿宋_GB2312" w:hAnsi="仿宋" w:eastAsia="仿宋_GB2312" w:cs="仿宋"/>
                <w:sz w:val="24"/>
                <w:szCs w:val="24"/>
              </w:rPr>
              <w:t>要求平台可集成其他正版工具类软件的功能。如在服务期期内免费提供其它正版工具类软件使用，可提供详细方案。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04"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1276" w:type="dxa"/>
            <w:vMerge w:val="continue"/>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p>
        </w:tc>
        <w:tc>
          <w:tcPr>
            <w:tcW w:w="992" w:type="dxa"/>
            <w:vAlign w:val="center"/>
          </w:tcPr>
          <w:p>
            <w:pPr>
              <w:keepNext w:val="0"/>
              <w:keepLines w:val="0"/>
              <w:pageBreakBefore w:val="0"/>
              <w:widowControl/>
              <w:kinsoku/>
              <w:overflowPunct/>
              <w:topLinePunct w:val="0"/>
              <w:bidi w:val="0"/>
              <w:adjustRightInd/>
              <w:snapToGrid/>
              <w:ind w:firstLine="0" w:firstLineChars="0"/>
              <w:jc w:val="center"/>
              <w:textAlignment w:val="auto"/>
              <w:rPr>
                <w:rFonts w:ascii="仿宋_GB2312" w:hAnsi="仿宋" w:eastAsia="仿宋_GB2312" w:cs="仿宋"/>
                <w:sz w:val="24"/>
                <w:szCs w:val="24"/>
              </w:rPr>
            </w:pPr>
            <w:r>
              <w:rPr>
                <w:rFonts w:hint="eastAsia" w:ascii="仿宋_GB2312" w:hAnsi="仿宋" w:eastAsia="仿宋_GB2312" w:cs="仿宋"/>
                <w:sz w:val="24"/>
                <w:szCs w:val="24"/>
              </w:rPr>
              <w:t>售后服务要求</w:t>
            </w:r>
          </w:p>
        </w:tc>
        <w:tc>
          <w:tcPr>
            <w:tcW w:w="7245" w:type="dxa"/>
            <w:vAlign w:val="center"/>
          </w:tcPr>
          <w:p>
            <w:pPr>
              <w:pStyle w:val="36"/>
              <w:keepNext w:val="0"/>
              <w:keepLines w:val="0"/>
              <w:pageBreakBefore w:val="0"/>
              <w:widowControl w:val="0"/>
              <w:numPr>
                <w:ilvl w:val="0"/>
                <w:numId w:val="27"/>
              </w:numPr>
              <w:kinsoku/>
              <w:wordWrap/>
              <w:overflowPunct/>
              <w:topLinePunct w:val="0"/>
              <w:autoSpaceDE/>
              <w:autoSpaceDN/>
              <w:bidi w:val="0"/>
              <w:adjustRightInd/>
              <w:snapToGrid/>
              <w:spacing w:before="0"/>
              <w:ind w:left="0" w:firstLine="0" w:firstLineChars="0"/>
              <w:textAlignment w:val="auto"/>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服务期限：</w:t>
            </w:r>
            <w:r>
              <w:rPr>
                <w:rFonts w:ascii="仿宋_GB2312" w:hAnsi="仿宋" w:eastAsia="仿宋_GB2312" w:cs="仿宋"/>
                <w:sz w:val="24"/>
                <w:szCs w:val="24"/>
                <w:highlight w:val="none"/>
              </w:rPr>
              <w:t>1年</w:t>
            </w:r>
          </w:p>
          <w:p>
            <w:pPr>
              <w:keepNext w:val="0"/>
              <w:keepLines w:val="0"/>
              <w:pageBreakBefore w:val="0"/>
              <w:widowControl w:val="0"/>
              <w:kinsoku/>
              <w:wordWrap/>
              <w:overflowPunct/>
              <w:topLinePunct w:val="0"/>
              <w:autoSpaceDE/>
              <w:autoSpaceDN/>
              <w:bidi w:val="0"/>
              <w:adjustRightInd/>
              <w:snapToGrid/>
              <w:ind w:lef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包括定期巡检、平台升级、数据导入、更新服务、技术支持，培训技术管理人员正确使用管理平台；</w:t>
            </w:r>
          </w:p>
          <w:p>
            <w:pPr>
              <w:pStyle w:val="36"/>
              <w:keepNext w:val="0"/>
              <w:keepLines w:val="0"/>
              <w:pageBreakBefore w:val="0"/>
              <w:widowControl w:val="0"/>
              <w:numPr>
                <w:ilvl w:val="0"/>
                <w:numId w:val="27"/>
              </w:numPr>
              <w:kinsoku/>
              <w:wordWrap/>
              <w:overflowPunct/>
              <w:topLinePunct w:val="0"/>
              <w:autoSpaceDE/>
              <w:autoSpaceDN/>
              <w:bidi w:val="0"/>
              <w:adjustRightInd/>
              <w:snapToGrid/>
              <w:spacing w:before="0"/>
              <w:ind w:lef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售后服务：提供</w:t>
            </w:r>
            <w:bookmarkStart w:id="277" w:name="_GoBack"/>
            <w:bookmarkEnd w:id="277"/>
            <w:r>
              <w:rPr>
                <w:rFonts w:hint="eastAsia" w:ascii="仿宋_GB2312" w:hAnsi="仿宋" w:eastAsia="仿宋_GB2312" w:cs="仿宋"/>
                <w:sz w:val="24"/>
                <w:szCs w:val="24"/>
              </w:rPr>
              <w:t>客户服务支持</w:t>
            </w:r>
          </w:p>
          <w:p>
            <w:pPr>
              <w:pStyle w:val="36"/>
              <w:keepNext w:val="0"/>
              <w:keepLines w:val="0"/>
              <w:pageBreakBefore w:val="0"/>
              <w:widowControl w:val="0"/>
              <w:numPr>
                <w:ilvl w:val="0"/>
                <w:numId w:val="27"/>
              </w:numPr>
              <w:kinsoku/>
              <w:wordWrap/>
              <w:overflowPunct/>
              <w:topLinePunct w:val="0"/>
              <w:autoSpaceDE/>
              <w:autoSpaceDN/>
              <w:bidi w:val="0"/>
              <w:adjustRightInd/>
              <w:snapToGrid/>
              <w:spacing w:before="0"/>
              <w:ind w:lef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技术支持网站：对本单位使用用户提供专业技术交流和技术支持网站</w:t>
            </w:r>
          </w:p>
          <w:p>
            <w:pPr>
              <w:pStyle w:val="36"/>
              <w:keepNext w:val="0"/>
              <w:keepLines w:val="0"/>
              <w:pageBreakBefore w:val="0"/>
              <w:widowControl w:val="0"/>
              <w:numPr>
                <w:ilvl w:val="0"/>
                <w:numId w:val="27"/>
              </w:numPr>
              <w:kinsoku/>
              <w:wordWrap/>
              <w:overflowPunct/>
              <w:topLinePunct w:val="0"/>
              <w:autoSpaceDE/>
              <w:autoSpaceDN/>
              <w:bidi w:val="0"/>
              <w:adjustRightInd/>
              <w:snapToGrid/>
              <w:spacing w:before="0"/>
              <w:ind w:lef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使用培训：使用技巧培训，管理平台使用培训；培训3名以上网络管理人员，对系统进行操作培训</w:t>
            </w:r>
          </w:p>
          <w:p>
            <w:pPr>
              <w:pStyle w:val="36"/>
              <w:keepNext w:val="0"/>
              <w:keepLines w:val="0"/>
              <w:pageBreakBefore w:val="0"/>
              <w:widowControl w:val="0"/>
              <w:numPr>
                <w:ilvl w:val="0"/>
                <w:numId w:val="27"/>
              </w:numPr>
              <w:kinsoku/>
              <w:wordWrap/>
              <w:overflowPunct/>
              <w:topLinePunct w:val="0"/>
              <w:autoSpaceDE/>
              <w:autoSpaceDN/>
              <w:bidi w:val="0"/>
              <w:adjustRightInd/>
              <w:snapToGrid/>
              <w:spacing w:before="0"/>
              <w:ind w:lef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技术支持：提供在线技术支持服务及服务电话和服务邮箱</w:t>
            </w:r>
          </w:p>
          <w:p>
            <w:pPr>
              <w:pStyle w:val="36"/>
              <w:keepNext w:val="0"/>
              <w:keepLines w:val="0"/>
              <w:pageBreakBefore w:val="0"/>
              <w:widowControl w:val="0"/>
              <w:numPr>
                <w:ilvl w:val="0"/>
                <w:numId w:val="27"/>
              </w:numPr>
              <w:kinsoku/>
              <w:wordWrap/>
              <w:overflowPunct/>
              <w:topLinePunct w:val="0"/>
              <w:autoSpaceDE/>
              <w:autoSpaceDN/>
              <w:bidi w:val="0"/>
              <w:adjustRightInd/>
              <w:snapToGrid/>
              <w:spacing w:before="0"/>
              <w:ind w:left="0"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售后服务：所有服务均按照招标文件中的规格型号提供，如有不符合合同要求的，客户有权提出更改；为方便对客户进行追踪服务，公司对所有用户建立详细档案（包括产品激活时间、版本、次数）；软件，硬件安装调试，派出专业人员对客户人员进行培训，使操作人员熟悉产品性能和使用方法，同时能对一般故障做到预防和处理；(5*8小时/周)电话热线和网络咨询服务软件在质保时间内出现新版本应免费升级</w:t>
            </w:r>
          </w:p>
        </w:tc>
      </w:tr>
      <w:bookmarkEnd w:id="136"/>
    </w:tbl>
    <w:p>
      <w:pPr>
        <w:pStyle w:val="28"/>
        <w:rPr>
          <w:rFonts w:hint="eastAsia" w:ascii="宋体" w:hAnsi="宋体" w:eastAsia="宋体" w:cs="宋体"/>
        </w:rPr>
      </w:pPr>
    </w:p>
    <w:p>
      <w:pPr>
        <w:widowControl/>
        <w:jc w:val="left"/>
        <w:rPr>
          <w:rFonts w:hint="eastAsia" w:ascii="宋体" w:hAnsi="宋体" w:eastAsia="宋体" w:cs="宋体"/>
          <w:sz w:val="36"/>
          <w:szCs w:val="36"/>
        </w:rPr>
      </w:pPr>
      <w:r>
        <w:rPr>
          <w:rFonts w:hint="eastAsia" w:ascii="宋体" w:hAnsi="宋体" w:eastAsia="宋体" w:cs="宋体"/>
          <w:sz w:val="36"/>
          <w:szCs w:val="36"/>
        </w:rPr>
        <w:br w:type="page"/>
      </w:r>
      <w:bookmarkStart w:id="138" w:name="_Toc26539"/>
    </w:p>
    <w:p>
      <w:pPr>
        <w:pStyle w:val="3"/>
        <w:spacing w:line="500" w:lineRule="exact"/>
        <w:rPr>
          <w:rFonts w:hint="eastAsia" w:ascii="宋体" w:hAnsi="宋体" w:eastAsia="宋体" w:cs="宋体"/>
          <w:sz w:val="36"/>
          <w:szCs w:val="36"/>
        </w:rPr>
      </w:pPr>
    </w:p>
    <w:p>
      <w:pPr>
        <w:pStyle w:val="3"/>
        <w:spacing w:line="500" w:lineRule="exact"/>
        <w:rPr>
          <w:rFonts w:hint="eastAsia" w:ascii="宋体" w:hAnsi="宋体" w:eastAsia="宋体" w:cs="宋体"/>
          <w:sz w:val="36"/>
          <w:szCs w:val="36"/>
        </w:rPr>
      </w:pPr>
      <w:r>
        <w:rPr>
          <w:rFonts w:hint="eastAsia" w:ascii="宋体" w:hAnsi="宋体" w:eastAsia="宋体" w:cs="宋体"/>
          <w:sz w:val="36"/>
          <w:szCs w:val="36"/>
        </w:rPr>
        <w:t>第六章 响应文件格式</w:t>
      </w:r>
      <w:bookmarkEnd w:id="127"/>
      <w:bookmarkEnd w:id="128"/>
      <w:bookmarkEnd w:id="130"/>
      <w:bookmarkEnd w:id="131"/>
      <w:bookmarkEnd w:id="132"/>
      <w:bookmarkEnd w:id="133"/>
      <w:bookmarkEnd w:id="138"/>
    </w:p>
    <w:p>
      <w:pPr>
        <w:spacing w:line="500" w:lineRule="exact"/>
        <w:jc w:val="center"/>
        <w:rPr>
          <w:rFonts w:hint="eastAsia" w:ascii="宋体" w:hAnsi="宋体" w:eastAsia="宋体" w:cs="宋体"/>
          <w:sz w:val="44"/>
          <w:szCs w:val="44"/>
          <w:u w:val="single"/>
        </w:rPr>
      </w:pPr>
    </w:p>
    <w:p>
      <w:pPr>
        <w:spacing w:line="500" w:lineRule="exact"/>
        <w:jc w:val="center"/>
        <w:rPr>
          <w:rFonts w:hint="eastAsia" w:ascii="宋体" w:hAnsi="宋体" w:eastAsia="宋体" w:cs="宋体"/>
          <w:sz w:val="44"/>
          <w:szCs w:val="44"/>
          <w:u w:val="single"/>
        </w:rPr>
      </w:pPr>
    </w:p>
    <w:p>
      <w:pPr>
        <w:spacing w:line="500" w:lineRule="exact"/>
        <w:jc w:val="center"/>
        <w:rPr>
          <w:rFonts w:hint="eastAsia" w:ascii="宋体" w:hAnsi="宋体" w:eastAsia="宋体" w:cs="宋体"/>
          <w:sz w:val="44"/>
          <w:szCs w:val="44"/>
        </w:rPr>
      </w:pPr>
      <w:r>
        <w:rPr>
          <w:rFonts w:hint="eastAsia" w:ascii="宋体" w:hAnsi="宋体" w:eastAsia="宋体" w:cs="宋体"/>
          <w:sz w:val="44"/>
          <w:szCs w:val="44"/>
        </w:rPr>
        <w:t xml:space="preserve">（项目名称）  </w:t>
      </w:r>
    </w:p>
    <w:p>
      <w:pPr>
        <w:spacing w:line="500" w:lineRule="exact"/>
        <w:ind w:firstLine="2169" w:firstLineChars="900"/>
        <w:rPr>
          <w:rFonts w:hint="eastAsia" w:ascii="宋体" w:hAnsi="宋体" w:eastAsia="宋体" w:cs="宋体"/>
        </w:rPr>
      </w:pPr>
    </w:p>
    <w:p>
      <w:pPr>
        <w:pStyle w:val="21"/>
        <w:ind w:firstLine="738"/>
        <w:rPr>
          <w:rFonts w:hint="eastAsia" w:ascii="宋体" w:hAnsi="宋体" w:eastAsia="宋体" w:cs="宋体"/>
        </w:rPr>
      </w:pPr>
    </w:p>
    <w:p>
      <w:pPr>
        <w:spacing w:line="360" w:lineRule="auto"/>
        <w:jc w:val="center"/>
        <w:rPr>
          <w:rFonts w:hint="eastAsia" w:ascii="宋体" w:hAnsi="宋体" w:eastAsia="宋体" w:cs="宋体"/>
          <w:sz w:val="44"/>
          <w:szCs w:val="44"/>
        </w:rPr>
      </w:pPr>
      <w:r>
        <w:rPr>
          <w:rFonts w:hint="eastAsia" w:ascii="宋体" w:hAnsi="宋体" w:eastAsia="宋体" w:cs="宋体"/>
          <w:sz w:val="44"/>
          <w:szCs w:val="44"/>
        </w:rPr>
        <w:t>响应文件</w:t>
      </w:r>
    </w:p>
    <w:p>
      <w:pPr>
        <w:pStyle w:val="8"/>
        <w:rPr>
          <w:rFonts w:hint="eastAsia" w:ascii="宋体" w:hAnsi="宋体" w:eastAsia="宋体" w:cs="宋体"/>
          <w:sz w:val="44"/>
          <w:szCs w:val="44"/>
        </w:rPr>
      </w:pPr>
    </w:p>
    <w:p>
      <w:pPr>
        <w:rPr>
          <w:rFonts w:hint="eastAsia" w:ascii="宋体" w:hAnsi="宋体" w:eastAsia="宋体" w:cs="宋体"/>
        </w:rPr>
      </w:pPr>
    </w:p>
    <w:p>
      <w:pPr>
        <w:spacing w:line="360" w:lineRule="auto"/>
        <w:ind w:firstLine="3189" w:firstLineChars="994"/>
        <w:outlineLvl w:val="0"/>
        <w:rPr>
          <w:rFonts w:hint="eastAsia" w:ascii="宋体" w:hAnsi="宋体" w:eastAsia="宋体" w:cs="宋体"/>
          <w:sz w:val="32"/>
          <w:szCs w:val="32"/>
        </w:rPr>
      </w:pPr>
      <w:bookmarkStart w:id="139" w:name="_Toc30847"/>
      <w:bookmarkStart w:id="140" w:name="_Toc7083"/>
      <w:bookmarkStart w:id="141" w:name="_Toc28873_WPSOffice_Level1"/>
      <w:bookmarkStart w:id="142" w:name="_Toc9485_WPSOffice_Level1"/>
      <w:bookmarkStart w:id="143" w:name="_Toc8167_WPSOffice_Level1"/>
      <w:bookmarkStart w:id="144" w:name="_Toc17979_WPSOffice_Level1"/>
      <w:bookmarkStart w:id="145" w:name="_Toc29141"/>
      <w:bookmarkStart w:id="146" w:name="_Toc12112_WPSOffice_Level1"/>
      <w:bookmarkStart w:id="147" w:name="_Toc27853_WPSOffice_Level1"/>
      <w:bookmarkStart w:id="148" w:name="_Toc19797"/>
      <w:bookmarkStart w:id="149" w:name="_Toc4049_WPSOffice_Level1"/>
      <w:r>
        <w:rPr>
          <w:rFonts w:hint="eastAsia" w:ascii="宋体" w:hAnsi="宋体" w:eastAsia="宋体" w:cs="宋体"/>
          <w:sz w:val="32"/>
          <w:szCs w:val="32"/>
        </w:rPr>
        <w:t>项目编号：</w:t>
      </w:r>
      <w:bookmarkEnd w:id="139"/>
      <w:bookmarkEnd w:id="140"/>
      <w:bookmarkEnd w:id="141"/>
      <w:bookmarkEnd w:id="142"/>
      <w:bookmarkEnd w:id="143"/>
      <w:bookmarkEnd w:id="144"/>
      <w:bookmarkEnd w:id="145"/>
      <w:bookmarkEnd w:id="146"/>
      <w:bookmarkEnd w:id="147"/>
      <w:bookmarkEnd w:id="148"/>
      <w:bookmarkEnd w:id="149"/>
    </w:p>
    <w:p>
      <w:pPr>
        <w:spacing w:line="500" w:lineRule="exact"/>
        <w:rPr>
          <w:rFonts w:hint="eastAsia" w:ascii="宋体" w:hAnsi="宋体" w:eastAsia="宋体" w:cs="宋体"/>
        </w:rPr>
      </w:pPr>
    </w:p>
    <w:p>
      <w:pPr>
        <w:spacing w:line="500" w:lineRule="exact"/>
        <w:rPr>
          <w:rFonts w:hint="eastAsia" w:ascii="宋体" w:hAnsi="宋体" w:eastAsia="宋体" w:cs="宋体"/>
        </w:rPr>
      </w:pPr>
    </w:p>
    <w:p>
      <w:pPr>
        <w:spacing w:line="500" w:lineRule="exact"/>
        <w:rPr>
          <w:rFonts w:hint="eastAsia" w:ascii="宋体" w:hAnsi="宋体" w:eastAsia="宋体" w:cs="宋体"/>
        </w:rPr>
      </w:pPr>
    </w:p>
    <w:p>
      <w:pPr>
        <w:spacing w:line="500" w:lineRule="exact"/>
        <w:rPr>
          <w:rFonts w:hint="eastAsia" w:ascii="宋体" w:hAnsi="宋体" w:eastAsia="宋体" w:cs="宋体"/>
        </w:rPr>
      </w:pPr>
    </w:p>
    <w:p>
      <w:pPr>
        <w:spacing w:line="500" w:lineRule="exact"/>
        <w:rPr>
          <w:rFonts w:hint="eastAsia" w:ascii="宋体" w:hAnsi="宋体" w:eastAsia="宋体" w:cs="宋体"/>
        </w:rPr>
      </w:pPr>
    </w:p>
    <w:p>
      <w:pPr>
        <w:spacing w:line="500" w:lineRule="exact"/>
        <w:rPr>
          <w:rFonts w:hint="eastAsia" w:ascii="宋体" w:hAnsi="宋体" w:eastAsia="宋体" w:cs="宋体"/>
        </w:rPr>
      </w:pPr>
    </w:p>
    <w:p>
      <w:pPr>
        <w:spacing w:line="500" w:lineRule="exact"/>
        <w:rPr>
          <w:rFonts w:hint="eastAsia" w:ascii="宋体" w:hAnsi="宋体" w:eastAsia="宋体" w:cs="宋体"/>
        </w:rPr>
      </w:pPr>
    </w:p>
    <w:p>
      <w:pPr>
        <w:spacing w:line="500" w:lineRule="exact"/>
        <w:rPr>
          <w:rFonts w:hint="eastAsia" w:ascii="宋体" w:hAnsi="宋体" w:eastAsia="宋体" w:cs="宋体"/>
        </w:rPr>
      </w:pPr>
    </w:p>
    <w:p>
      <w:pPr>
        <w:spacing w:line="500" w:lineRule="exact"/>
        <w:ind w:left="1236" w:leftChars="513"/>
        <w:rPr>
          <w:rFonts w:hint="eastAsia" w:ascii="宋体" w:hAnsi="宋体" w:eastAsia="宋体" w:cs="宋体"/>
          <w:sz w:val="24"/>
        </w:rPr>
      </w:pPr>
      <w:r>
        <w:rPr>
          <w:rFonts w:hint="eastAsia" w:ascii="宋体" w:hAnsi="宋体" w:eastAsia="宋体" w:cs="宋体"/>
          <w:sz w:val="24"/>
        </w:rPr>
        <w:t>供应商：（盖单位章）</w:t>
      </w:r>
    </w:p>
    <w:p>
      <w:pPr>
        <w:spacing w:line="500" w:lineRule="exact"/>
        <w:ind w:left="1236" w:leftChars="513"/>
        <w:rPr>
          <w:rFonts w:hint="eastAsia" w:ascii="宋体" w:hAnsi="宋体" w:eastAsia="宋体" w:cs="宋体"/>
          <w:sz w:val="24"/>
        </w:rPr>
      </w:pPr>
      <w:r>
        <w:rPr>
          <w:rFonts w:hint="eastAsia" w:ascii="宋体" w:hAnsi="宋体" w:eastAsia="宋体" w:cs="宋体"/>
          <w:sz w:val="24"/>
        </w:rPr>
        <w:t>供应商法定代表人或其委托代理人：（签字或盖章）</w:t>
      </w:r>
    </w:p>
    <w:p>
      <w:pPr>
        <w:spacing w:line="500" w:lineRule="exact"/>
        <w:ind w:left="1236" w:leftChars="513"/>
        <w:rPr>
          <w:rFonts w:hint="eastAsia" w:ascii="宋体" w:hAnsi="宋体" w:eastAsia="宋体" w:cs="宋体"/>
          <w:sz w:val="24"/>
        </w:rPr>
      </w:pPr>
      <w:r>
        <w:rPr>
          <w:rFonts w:hint="eastAsia" w:ascii="宋体" w:hAnsi="宋体" w:eastAsia="宋体" w:cs="宋体"/>
          <w:sz w:val="24"/>
        </w:rPr>
        <w:t>年 月 日</w:t>
      </w:r>
    </w:p>
    <w:p>
      <w:pPr>
        <w:spacing w:line="500" w:lineRule="exact"/>
        <w:ind w:left="1236" w:leftChars="513"/>
        <w:rPr>
          <w:rFonts w:hint="eastAsia" w:ascii="宋体" w:hAnsi="宋体" w:eastAsia="宋体" w:cs="宋体"/>
          <w:sz w:val="24"/>
        </w:rPr>
      </w:pPr>
    </w:p>
    <w:p>
      <w:pPr>
        <w:spacing w:line="500" w:lineRule="exact"/>
        <w:jc w:val="center"/>
        <w:rPr>
          <w:rFonts w:hint="eastAsia" w:ascii="宋体" w:hAnsi="宋体" w:eastAsia="宋体" w:cs="宋体"/>
          <w:sz w:val="24"/>
        </w:rPr>
      </w:pPr>
    </w:p>
    <w:p>
      <w:pPr>
        <w:spacing w:line="500" w:lineRule="exact"/>
        <w:jc w:val="center"/>
        <w:rPr>
          <w:rFonts w:hint="eastAsia" w:ascii="宋体" w:hAnsi="宋体" w:eastAsia="宋体" w:cs="宋体"/>
          <w:sz w:val="24"/>
        </w:rPr>
      </w:pPr>
      <w:r>
        <w:rPr>
          <w:rFonts w:hint="eastAsia" w:ascii="宋体" w:hAnsi="宋体" w:eastAsia="宋体" w:cs="宋体"/>
          <w:sz w:val="24"/>
        </w:rPr>
        <w:br w:type="page"/>
      </w:r>
    </w:p>
    <w:p>
      <w:pPr>
        <w:spacing w:line="500" w:lineRule="exact"/>
        <w:jc w:val="center"/>
        <w:rPr>
          <w:rFonts w:hint="eastAsia" w:ascii="宋体" w:hAnsi="宋体" w:eastAsia="宋体" w:cs="宋体"/>
          <w:sz w:val="24"/>
        </w:rPr>
      </w:pPr>
    </w:p>
    <w:p>
      <w:pPr>
        <w:spacing w:line="500" w:lineRule="exact"/>
        <w:jc w:val="center"/>
        <w:rPr>
          <w:rFonts w:hint="eastAsia" w:ascii="宋体" w:hAnsi="宋体" w:eastAsia="宋体" w:cs="宋体"/>
          <w:b/>
          <w:sz w:val="36"/>
          <w:szCs w:val="36"/>
        </w:rPr>
      </w:pPr>
    </w:p>
    <w:p>
      <w:pPr>
        <w:spacing w:line="500" w:lineRule="exact"/>
        <w:jc w:val="center"/>
        <w:outlineLvl w:val="0"/>
        <w:rPr>
          <w:rFonts w:hint="eastAsia" w:ascii="宋体" w:hAnsi="宋体" w:eastAsia="宋体" w:cs="宋体"/>
          <w:b/>
          <w:sz w:val="36"/>
          <w:szCs w:val="36"/>
        </w:rPr>
      </w:pPr>
      <w:bookmarkStart w:id="150" w:name="_Toc26678"/>
      <w:bookmarkStart w:id="151" w:name="_Toc29720"/>
      <w:bookmarkStart w:id="152" w:name="_Toc17664"/>
      <w:bookmarkStart w:id="153" w:name="_Toc2392_WPSOffice_Level1"/>
      <w:bookmarkStart w:id="154" w:name="_Toc23412_WPSOffice_Level1"/>
      <w:bookmarkStart w:id="155" w:name="_Toc23039"/>
      <w:bookmarkStart w:id="156" w:name="_Toc4156_WPSOffice_Level1"/>
      <w:r>
        <w:rPr>
          <w:rFonts w:hint="eastAsia" w:ascii="宋体" w:hAnsi="宋体" w:eastAsia="宋体" w:cs="宋体"/>
          <w:b/>
          <w:sz w:val="36"/>
          <w:szCs w:val="36"/>
        </w:rPr>
        <w:t>目     录</w:t>
      </w:r>
      <w:bookmarkEnd w:id="150"/>
      <w:bookmarkEnd w:id="151"/>
      <w:bookmarkEnd w:id="152"/>
      <w:bookmarkEnd w:id="153"/>
      <w:bookmarkEnd w:id="154"/>
      <w:bookmarkEnd w:id="155"/>
      <w:bookmarkEnd w:id="156"/>
    </w:p>
    <w:p>
      <w:pPr>
        <w:spacing w:line="470" w:lineRule="exact"/>
        <w:ind w:firstLine="482" w:firstLineChars="200"/>
        <w:outlineLvl w:val="0"/>
        <w:rPr>
          <w:rFonts w:hint="eastAsia" w:ascii="宋体" w:hAnsi="宋体" w:eastAsia="宋体" w:cs="宋体"/>
          <w:sz w:val="24"/>
        </w:rPr>
      </w:pPr>
      <w:bookmarkStart w:id="157" w:name="_Toc28446"/>
      <w:bookmarkStart w:id="158" w:name="_Toc2645"/>
      <w:bookmarkStart w:id="159" w:name="_Toc15299"/>
      <w:bookmarkStart w:id="160" w:name="_Toc28481"/>
      <w:r>
        <w:rPr>
          <w:rFonts w:hint="eastAsia" w:ascii="宋体" w:hAnsi="宋体" w:eastAsia="宋体" w:cs="宋体"/>
          <w:sz w:val="24"/>
        </w:rPr>
        <w:fldChar w:fldCharType="begin"/>
      </w:r>
      <w:r>
        <w:rPr>
          <w:rFonts w:hint="eastAsia" w:ascii="宋体" w:hAnsi="宋体" w:eastAsia="宋体" w:cs="宋体"/>
          <w:sz w:val="24"/>
        </w:rPr>
        <w:instrText xml:space="preserve"> HYPERLINK \l "_Toc367286147"</w:instrText>
      </w:r>
      <w:r>
        <w:rPr>
          <w:rFonts w:hint="eastAsia" w:ascii="宋体" w:hAnsi="宋体" w:eastAsia="宋体" w:cs="宋体"/>
          <w:sz w:val="24"/>
        </w:rPr>
        <w:fldChar w:fldCharType="separate"/>
      </w:r>
      <w:r>
        <w:rPr>
          <w:rFonts w:hint="eastAsia" w:ascii="宋体" w:hAnsi="宋体" w:eastAsia="宋体" w:cs="宋体"/>
          <w:sz w:val="24"/>
        </w:rPr>
        <w:t>一、报价函</w:t>
      </w:r>
      <w:r>
        <w:rPr>
          <w:rFonts w:hint="eastAsia" w:ascii="宋体" w:hAnsi="宋体" w:eastAsia="宋体" w:cs="宋体"/>
          <w:sz w:val="24"/>
        </w:rPr>
        <w:fldChar w:fldCharType="end"/>
      </w:r>
      <w:bookmarkEnd w:id="157"/>
      <w:bookmarkEnd w:id="158"/>
      <w:bookmarkEnd w:id="159"/>
      <w:bookmarkEnd w:id="160"/>
    </w:p>
    <w:p>
      <w:pPr>
        <w:spacing w:line="470" w:lineRule="exact"/>
        <w:ind w:firstLine="482" w:firstLineChars="200"/>
        <w:outlineLvl w:val="0"/>
        <w:rPr>
          <w:rFonts w:hint="eastAsia" w:ascii="宋体" w:hAnsi="宋体" w:eastAsia="宋体" w:cs="宋体"/>
          <w:sz w:val="24"/>
        </w:rPr>
      </w:pPr>
      <w:bookmarkStart w:id="161" w:name="_Toc5964"/>
      <w:bookmarkStart w:id="162" w:name="_Toc19777"/>
      <w:bookmarkStart w:id="163" w:name="_Toc6233"/>
      <w:bookmarkStart w:id="164" w:name="_Toc2332"/>
      <w:r>
        <w:rPr>
          <w:rFonts w:hint="eastAsia" w:ascii="宋体" w:hAnsi="宋体" w:eastAsia="宋体" w:cs="宋体"/>
          <w:sz w:val="24"/>
        </w:rPr>
        <w:t>二、报价一览表</w:t>
      </w:r>
      <w:bookmarkEnd w:id="161"/>
      <w:bookmarkEnd w:id="162"/>
      <w:bookmarkEnd w:id="163"/>
      <w:bookmarkEnd w:id="164"/>
    </w:p>
    <w:p>
      <w:pPr>
        <w:spacing w:line="470" w:lineRule="exact"/>
        <w:ind w:firstLine="482" w:firstLineChars="200"/>
        <w:outlineLvl w:val="0"/>
        <w:rPr>
          <w:rFonts w:hint="eastAsia" w:ascii="宋体" w:hAnsi="宋体" w:eastAsia="宋体" w:cs="宋体"/>
          <w:sz w:val="24"/>
        </w:rPr>
      </w:pPr>
      <w:bookmarkStart w:id="165" w:name="_Toc23034"/>
      <w:bookmarkStart w:id="166" w:name="_Toc14006"/>
      <w:bookmarkStart w:id="167" w:name="_Toc21781"/>
      <w:bookmarkStart w:id="168" w:name="_Toc9161"/>
      <w:r>
        <w:rPr>
          <w:rFonts w:hint="eastAsia" w:ascii="宋体" w:hAnsi="宋体" w:eastAsia="宋体" w:cs="宋体"/>
          <w:sz w:val="24"/>
        </w:rPr>
        <w:t>三、法定代表人及委托人身份证明</w:t>
      </w:r>
      <w:bookmarkEnd w:id="165"/>
      <w:bookmarkEnd w:id="166"/>
      <w:bookmarkEnd w:id="167"/>
      <w:bookmarkEnd w:id="168"/>
    </w:p>
    <w:p>
      <w:pPr>
        <w:spacing w:line="470" w:lineRule="exact"/>
        <w:ind w:firstLine="482" w:firstLineChars="200"/>
        <w:outlineLvl w:val="0"/>
        <w:rPr>
          <w:rFonts w:hint="eastAsia" w:ascii="宋体" w:hAnsi="宋体" w:eastAsia="宋体" w:cs="宋体"/>
          <w:sz w:val="24"/>
          <w:lang w:val="en-US" w:eastAsia="zh-CN"/>
        </w:rPr>
      </w:pPr>
      <w:bookmarkStart w:id="169" w:name="_Toc2751"/>
      <w:bookmarkStart w:id="170" w:name="_Toc3671"/>
      <w:bookmarkStart w:id="171" w:name="_Toc643"/>
      <w:bookmarkStart w:id="172" w:name="_Toc24334"/>
      <w:r>
        <w:rPr>
          <w:rFonts w:hint="eastAsia" w:ascii="宋体" w:hAnsi="宋体" w:eastAsia="宋体" w:cs="宋体"/>
          <w:sz w:val="24"/>
        </w:rPr>
        <w:t>四、</w:t>
      </w:r>
      <w:r>
        <w:rPr>
          <w:rFonts w:hint="eastAsia" w:ascii="宋体" w:hAnsi="宋体" w:eastAsia="宋体" w:cs="宋体"/>
          <w:sz w:val="24"/>
          <w:lang w:val="en-US" w:eastAsia="zh-CN"/>
        </w:rPr>
        <w:t>报价明细表</w:t>
      </w:r>
    </w:p>
    <w:p>
      <w:pPr>
        <w:spacing w:line="470" w:lineRule="exact"/>
        <w:ind w:firstLine="482" w:firstLineChars="200"/>
        <w:outlineLvl w:val="0"/>
        <w:rPr>
          <w:rFonts w:hint="eastAsia" w:ascii="宋体" w:hAnsi="宋体" w:eastAsia="宋体" w:cs="宋体"/>
          <w:sz w:val="24"/>
        </w:rPr>
      </w:pPr>
      <w:r>
        <w:rPr>
          <w:rFonts w:hint="eastAsia" w:ascii="宋体" w:hAnsi="宋体" w:eastAsia="宋体" w:cs="宋体"/>
          <w:lang w:val="en-US" w:eastAsia="zh-CN"/>
        </w:rPr>
        <w:t>五、</w:t>
      </w:r>
      <w:r>
        <w:rPr>
          <w:rFonts w:hint="eastAsia" w:ascii="宋体" w:hAnsi="宋体" w:eastAsia="宋体" w:cs="宋体"/>
        </w:rPr>
        <w:fldChar w:fldCharType="begin"/>
      </w:r>
      <w:r>
        <w:rPr>
          <w:rFonts w:hint="eastAsia" w:ascii="宋体" w:hAnsi="宋体" w:eastAsia="宋体" w:cs="宋体"/>
        </w:rPr>
        <w:instrText xml:space="preserve"> HYPERLINK \l "_Toc367286158" </w:instrText>
      </w:r>
      <w:r>
        <w:rPr>
          <w:rFonts w:hint="eastAsia" w:ascii="宋体" w:hAnsi="宋体" w:eastAsia="宋体" w:cs="宋体"/>
        </w:rPr>
        <w:fldChar w:fldCharType="separate"/>
      </w:r>
      <w:r>
        <w:rPr>
          <w:rFonts w:hint="eastAsia" w:ascii="宋体" w:hAnsi="宋体" w:eastAsia="宋体" w:cs="宋体"/>
          <w:sz w:val="24"/>
        </w:rPr>
        <w:t>资格审查</w:t>
      </w:r>
      <w:r>
        <w:rPr>
          <w:rFonts w:hint="eastAsia" w:ascii="宋体" w:hAnsi="宋体" w:eastAsia="宋体" w:cs="宋体"/>
          <w:sz w:val="24"/>
        </w:rPr>
        <w:fldChar w:fldCharType="end"/>
      </w:r>
      <w:r>
        <w:rPr>
          <w:rFonts w:hint="eastAsia" w:ascii="宋体" w:hAnsi="宋体" w:eastAsia="宋体" w:cs="宋体"/>
          <w:sz w:val="24"/>
        </w:rPr>
        <w:t>资料</w:t>
      </w:r>
      <w:bookmarkEnd w:id="169"/>
      <w:bookmarkEnd w:id="170"/>
      <w:bookmarkEnd w:id="171"/>
      <w:bookmarkEnd w:id="172"/>
    </w:p>
    <w:p>
      <w:pPr>
        <w:spacing w:line="470" w:lineRule="exact"/>
        <w:ind w:firstLine="482" w:firstLineChars="200"/>
        <w:outlineLvl w:val="0"/>
        <w:rPr>
          <w:rFonts w:hint="eastAsia" w:ascii="宋体" w:hAnsi="宋体" w:eastAsia="宋体" w:cs="宋体"/>
          <w:sz w:val="24"/>
        </w:rPr>
      </w:pPr>
      <w:bookmarkStart w:id="173" w:name="_Toc19833"/>
      <w:bookmarkStart w:id="174" w:name="_Toc18517"/>
      <w:bookmarkStart w:id="175" w:name="_Toc21056"/>
      <w:bookmarkStart w:id="176" w:name="_Toc1098"/>
      <w:r>
        <w:rPr>
          <w:rFonts w:hint="eastAsia" w:ascii="宋体" w:hAnsi="宋体" w:eastAsia="宋体" w:cs="宋体"/>
          <w:sz w:val="24"/>
          <w:lang w:val="en-US" w:eastAsia="zh-CN"/>
        </w:rPr>
        <w:t>六</w:t>
      </w:r>
      <w:r>
        <w:rPr>
          <w:rFonts w:hint="eastAsia" w:ascii="宋体" w:hAnsi="宋体" w:eastAsia="宋体" w:cs="宋体"/>
          <w:sz w:val="24"/>
        </w:rPr>
        <w:t>、</w:t>
      </w:r>
      <w:bookmarkEnd w:id="173"/>
      <w:bookmarkEnd w:id="174"/>
      <w:r>
        <w:rPr>
          <w:rFonts w:hint="eastAsia" w:cs="宋体"/>
          <w:sz w:val="24"/>
          <w:lang w:val="en-US" w:eastAsia="zh-CN"/>
        </w:rPr>
        <w:t>技术</w:t>
      </w:r>
      <w:r>
        <w:rPr>
          <w:rFonts w:hint="eastAsia" w:ascii="宋体" w:hAnsi="宋体" w:eastAsia="宋体" w:cs="宋体"/>
          <w:sz w:val="24"/>
        </w:rPr>
        <w:t>方案</w:t>
      </w:r>
      <w:bookmarkEnd w:id="175"/>
      <w:bookmarkEnd w:id="176"/>
    </w:p>
    <w:p>
      <w:pPr>
        <w:pStyle w:val="2"/>
        <w:rPr>
          <w:rFonts w:hint="default" w:eastAsia="宋体"/>
          <w:lang w:val="en-US" w:eastAsia="zh-CN"/>
        </w:rPr>
      </w:pPr>
      <w:r>
        <w:rPr>
          <w:rFonts w:hint="eastAsia" w:ascii="宋体" w:hAnsi="宋体" w:cs="宋体"/>
          <w:sz w:val="24"/>
          <w:lang w:val="en-US" w:eastAsia="zh-CN"/>
        </w:rPr>
        <w:t>七、商务偏离表</w:t>
      </w:r>
    </w:p>
    <w:p>
      <w:pPr>
        <w:spacing w:line="470" w:lineRule="exact"/>
        <w:ind w:firstLine="482" w:firstLineChars="200"/>
        <w:outlineLvl w:val="0"/>
        <w:rPr>
          <w:rFonts w:hint="eastAsia" w:ascii="宋体" w:hAnsi="宋体" w:eastAsia="宋体" w:cs="宋体"/>
          <w:sz w:val="24"/>
        </w:rPr>
      </w:pPr>
      <w:bookmarkStart w:id="177" w:name="_Toc25215"/>
      <w:bookmarkStart w:id="178" w:name="_Toc13571"/>
      <w:bookmarkStart w:id="179" w:name="_Toc16225"/>
      <w:bookmarkStart w:id="180" w:name="_Toc12"/>
      <w:r>
        <w:rPr>
          <w:rFonts w:hint="eastAsia" w:cs="宋体"/>
          <w:sz w:val="24"/>
          <w:lang w:val="en-US" w:eastAsia="zh-CN"/>
        </w:rPr>
        <w:t>八</w:t>
      </w:r>
      <w:r>
        <w:rPr>
          <w:rFonts w:hint="eastAsia" w:ascii="宋体" w:hAnsi="宋体" w:eastAsia="宋体" w:cs="宋体"/>
          <w:sz w:val="24"/>
        </w:rPr>
        <w:t>、</w:t>
      </w:r>
      <w:bookmarkEnd w:id="177"/>
      <w:bookmarkEnd w:id="178"/>
      <w:bookmarkEnd w:id="179"/>
      <w:bookmarkEnd w:id="180"/>
      <w:r>
        <w:rPr>
          <w:rFonts w:hint="eastAsia" w:ascii="宋体" w:hAnsi="宋体" w:eastAsia="宋体" w:cs="宋体"/>
          <w:sz w:val="24"/>
          <w:lang w:val="en-US" w:eastAsia="zh-CN"/>
        </w:rPr>
        <w:t>菏泽市政府采购供应商资格信用承诺函</w:t>
      </w:r>
    </w:p>
    <w:p>
      <w:pPr>
        <w:spacing w:line="470" w:lineRule="exact"/>
        <w:ind w:firstLine="482" w:firstLineChars="200"/>
        <w:outlineLvl w:val="0"/>
        <w:rPr>
          <w:rFonts w:hint="eastAsia" w:ascii="宋体" w:hAnsi="宋体" w:eastAsia="宋体" w:cs="宋体"/>
          <w:sz w:val="24"/>
        </w:rPr>
      </w:pPr>
      <w:bookmarkStart w:id="181" w:name="_Toc10371"/>
      <w:bookmarkStart w:id="182" w:name="_Toc24813"/>
      <w:bookmarkStart w:id="183" w:name="_Toc27540"/>
      <w:bookmarkStart w:id="184" w:name="_Toc29382"/>
      <w:r>
        <w:rPr>
          <w:rFonts w:hint="eastAsia" w:cs="宋体"/>
          <w:sz w:val="24"/>
          <w:lang w:val="en-US" w:eastAsia="zh-CN"/>
        </w:rPr>
        <w:t>九</w:t>
      </w:r>
      <w:r>
        <w:rPr>
          <w:rFonts w:hint="eastAsia" w:ascii="宋体" w:hAnsi="宋体" w:eastAsia="宋体" w:cs="宋体"/>
          <w:sz w:val="24"/>
        </w:rPr>
        <w:t>、供应商认为需要提供的其他资料</w:t>
      </w:r>
      <w:bookmarkEnd w:id="181"/>
      <w:bookmarkEnd w:id="182"/>
      <w:bookmarkEnd w:id="183"/>
      <w:bookmarkEnd w:id="184"/>
    </w:p>
    <w:p>
      <w:pPr>
        <w:spacing w:line="470" w:lineRule="exact"/>
        <w:ind w:firstLine="482" w:firstLineChars="200"/>
        <w:outlineLvl w:val="0"/>
        <w:rPr>
          <w:rFonts w:hint="eastAsia" w:ascii="宋体" w:hAnsi="宋体" w:eastAsia="宋体" w:cs="宋体"/>
          <w:bCs/>
          <w:sz w:val="24"/>
        </w:rPr>
      </w:pPr>
      <w:bookmarkStart w:id="185" w:name="_Toc28118"/>
      <w:bookmarkStart w:id="186" w:name="_Toc3369"/>
      <w:bookmarkStart w:id="187" w:name="_Toc30363"/>
      <w:bookmarkStart w:id="188" w:name="_Toc26885"/>
      <w:r>
        <w:rPr>
          <w:rFonts w:hint="eastAsia" w:cs="宋体"/>
          <w:sz w:val="24"/>
          <w:lang w:val="en-US" w:eastAsia="zh-CN"/>
        </w:rPr>
        <w:t>十</w:t>
      </w:r>
      <w:r>
        <w:rPr>
          <w:rFonts w:hint="eastAsia" w:ascii="宋体" w:hAnsi="宋体" w:eastAsia="宋体" w:cs="宋体"/>
          <w:sz w:val="24"/>
        </w:rPr>
        <w:t>、《中小企业声明函》</w:t>
      </w:r>
      <w:bookmarkEnd w:id="185"/>
      <w:bookmarkEnd w:id="186"/>
      <w:bookmarkEnd w:id="187"/>
      <w:bookmarkEnd w:id="188"/>
    </w:p>
    <w:p>
      <w:pPr>
        <w:spacing w:line="500" w:lineRule="exact"/>
        <w:ind w:left="482" w:leftChars="200"/>
        <w:rPr>
          <w:rFonts w:hint="eastAsia" w:ascii="宋体" w:hAnsi="宋体" w:eastAsia="宋体" w:cs="宋体"/>
          <w:bCs/>
          <w:sz w:val="24"/>
        </w:rPr>
      </w:pPr>
      <w:r>
        <w:rPr>
          <w:rFonts w:hint="eastAsia" w:ascii="宋体" w:hAnsi="宋体" w:eastAsia="宋体" w:cs="宋体"/>
          <w:bCs/>
          <w:sz w:val="24"/>
        </w:rPr>
        <w:br w:type="page"/>
      </w:r>
    </w:p>
    <w:p>
      <w:pPr>
        <w:pStyle w:val="4"/>
        <w:numPr>
          <w:ilvl w:val="0"/>
          <w:numId w:val="28"/>
        </w:numPr>
        <w:spacing w:line="600" w:lineRule="exact"/>
        <w:jc w:val="center"/>
        <w:rPr>
          <w:rFonts w:hint="eastAsia" w:ascii="宋体" w:hAnsi="宋体" w:eastAsia="宋体" w:cs="宋体"/>
          <w:sz w:val="30"/>
          <w:szCs w:val="30"/>
        </w:rPr>
      </w:pPr>
      <w:bookmarkStart w:id="189" w:name="_Toc5080_WPSOffice_Level1"/>
      <w:bookmarkStart w:id="190" w:name="_Toc23992"/>
      <w:bookmarkStart w:id="191" w:name="_Toc17384_WPSOffice_Level1"/>
      <w:bookmarkStart w:id="192" w:name="_Toc5389_WPSOffice_Level1"/>
      <w:bookmarkStart w:id="193" w:name="_Toc28904_WPSOffice_Level1"/>
      <w:bookmarkStart w:id="194" w:name="_Toc18390_WPSOffice_Level1"/>
      <w:bookmarkStart w:id="195" w:name="_Toc7459_WPSOffice_Level1"/>
      <w:bookmarkStart w:id="196" w:name="_Toc32701_WPSOffice_Level1"/>
      <w:bookmarkStart w:id="197" w:name="_Toc10182"/>
      <w:bookmarkStart w:id="198" w:name="_Toc26042"/>
      <w:bookmarkStart w:id="199" w:name="_Toc11634"/>
      <w:r>
        <w:rPr>
          <w:rFonts w:hint="eastAsia" w:ascii="宋体" w:hAnsi="宋体" w:eastAsia="宋体" w:cs="宋体"/>
          <w:sz w:val="30"/>
          <w:szCs w:val="30"/>
        </w:rPr>
        <w:t>报价函</w:t>
      </w:r>
      <w:bookmarkEnd w:id="189"/>
      <w:bookmarkEnd w:id="190"/>
      <w:bookmarkEnd w:id="191"/>
      <w:bookmarkEnd w:id="192"/>
      <w:bookmarkEnd w:id="193"/>
      <w:bookmarkEnd w:id="194"/>
      <w:bookmarkEnd w:id="195"/>
      <w:bookmarkEnd w:id="196"/>
      <w:bookmarkEnd w:id="197"/>
      <w:bookmarkEnd w:id="198"/>
      <w:bookmarkEnd w:id="199"/>
    </w:p>
    <w:p>
      <w:pPr>
        <w:spacing w:line="360" w:lineRule="auto"/>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lang w:val="en-US" w:eastAsia="zh-CN"/>
        </w:rPr>
        <w:t>采购</w:t>
      </w:r>
      <w:r>
        <w:rPr>
          <w:rFonts w:hint="eastAsia" w:ascii="宋体" w:hAnsi="宋体" w:eastAsia="宋体" w:cs="宋体"/>
          <w:sz w:val="24"/>
        </w:rPr>
        <w:t>人名称）：</w:t>
      </w:r>
    </w:p>
    <w:p>
      <w:pPr>
        <w:spacing w:line="360" w:lineRule="auto"/>
        <w:ind w:firstLine="482" w:firstLineChars="200"/>
        <w:rPr>
          <w:rFonts w:hint="eastAsia" w:ascii="宋体" w:hAnsi="宋体" w:eastAsia="宋体" w:cs="宋体"/>
          <w:sz w:val="24"/>
        </w:rPr>
      </w:pPr>
      <w:r>
        <w:rPr>
          <w:rFonts w:hint="eastAsia" w:ascii="宋体" w:hAnsi="宋体" w:eastAsia="宋体" w:cs="宋体"/>
          <w:sz w:val="24"/>
        </w:rPr>
        <w:t>1、我方已仔细研究了</w:t>
      </w:r>
      <w:r>
        <w:rPr>
          <w:rFonts w:hint="eastAsia" w:ascii="宋体" w:hAnsi="宋体" w:eastAsia="宋体" w:cs="宋体"/>
          <w:sz w:val="24"/>
          <w:u w:val="single"/>
        </w:rPr>
        <w:t xml:space="preserve">               </w:t>
      </w:r>
      <w:r>
        <w:rPr>
          <w:rFonts w:hint="eastAsia" w:ascii="宋体" w:hAnsi="宋体" w:eastAsia="宋体" w:cs="宋体"/>
          <w:sz w:val="24"/>
        </w:rPr>
        <w:t>（项目名称）</w:t>
      </w:r>
      <w:r>
        <w:rPr>
          <w:rFonts w:hint="eastAsia" w:ascii="宋体" w:hAnsi="宋体" w:eastAsia="宋体" w:cs="宋体"/>
          <w:sz w:val="24"/>
          <w:lang w:val="en-US" w:eastAsia="zh-CN"/>
        </w:rPr>
        <w:t>竞争性磋商</w:t>
      </w:r>
      <w:r>
        <w:rPr>
          <w:rFonts w:hint="eastAsia" w:ascii="宋体" w:hAnsi="宋体" w:eastAsia="宋体" w:cs="宋体"/>
          <w:sz w:val="24"/>
        </w:rPr>
        <w:t>文件的全部内容，愿意以人民币（大写）</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）的投标总报价，服务期</w:t>
      </w:r>
      <w:r>
        <w:rPr>
          <w:rFonts w:hint="eastAsia" w:ascii="宋体" w:hAnsi="宋体" w:eastAsia="宋体" w:cs="宋体"/>
          <w:sz w:val="24"/>
          <w:u w:val="single"/>
        </w:rPr>
        <w:t xml:space="preserve">      </w:t>
      </w:r>
      <w:r>
        <w:rPr>
          <w:rFonts w:hint="eastAsia" w:ascii="宋体" w:hAnsi="宋体" w:eastAsia="宋体" w:cs="宋体"/>
          <w:sz w:val="24"/>
        </w:rPr>
        <w:t>，按合同约定实施和完成本项目，确保质量为</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360" w:lineRule="auto"/>
        <w:ind w:firstLine="482" w:firstLineChars="200"/>
        <w:rPr>
          <w:rFonts w:hint="eastAsia" w:ascii="宋体" w:hAnsi="宋体" w:eastAsia="宋体" w:cs="宋体"/>
          <w:sz w:val="24"/>
        </w:rPr>
      </w:pPr>
      <w:r>
        <w:rPr>
          <w:rFonts w:hint="eastAsia" w:ascii="宋体" w:hAnsi="宋体" w:eastAsia="宋体" w:cs="宋体"/>
          <w:sz w:val="24"/>
        </w:rPr>
        <w:t>2、我方承诺在投标有效期内不修改、撤销</w:t>
      </w:r>
      <w:r>
        <w:rPr>
          <w:rFonts w:hint="eastAsia" w:ascii="宋体" w:hAnsi="宋体" w:eastAsia="宋体" w:cs="宋体"/>
          <w:sz w:val="24"/>
          <w:lang w:val="en-US" w:eastAsia="zh-CN"/>
        </w:rPr>
        <w:t>响应</w:t>
      </w:r>
      <w:r>
        <w:rPr>
          <w:rFonts w:hint="eastAsia" w:ascii="宋体" w:hAnsi="宋体" w:eastAsia="宋体" w:cs="宋体"/>
          <w:sz w:val="24"/>
        </w:rPr>
        <w:t>文件。</w:t>
      </w:r>
    </w:p>
    <w:p>
      <w:pPr>
        <w:spacing w:line="360" w:lineRule="auto"/>
        <w:ind w:firstLine="482" w:firstLineChars="200"/>
        <w:rPr>
          <w:rFonts w:hint="eastAsia" w:ascii="宋体" w:hAnsi="宋体" w:eastAsia="宋体" w:cs="宋体"/>
          <w:sz w:val="24"/>
        </w:rPr>
      </w:pPr>
      <w:r>
        <w:rPr>
          <w:rFonts w:hint="eastAsia" w:ascii="宋体" w:hAnsi="宋体" w:eastAsia="宋体" w:cs="宋体"/>
          <w:sz w:val="24"/>
        </w:rPr>
        <w:t>3、如我方中标：</w:t>
      </w:r>
    </w:p>
    <w:p>
      <w:pPr>
        <w:spacing w:line="360" w:lineRule="auto"/>
        <w:ind w:firstLine="482" w:firstLineChars="200"/>
        <w:rPr>
          <w:rFonts w:hint="eastAsia" w:ascii="宋体" w:hAnsi="宋体" w:eastAsia="宋体" w:cs="宋体"/>
          <w:sz w:val="24"/>
        </w:rPr>
      </w:pPr>
      <w:r>
        <w:rPr>
          <w:rFonts w:hint="eastAsia" w:ascii="宋体" w:hAnsi="宋体" w:eastAsia="宋体" w:cs="宋体"/>
          <w:sz w:val="24"/>
        </w:rPr>
        <w:t>（1）我方承诺在收到</w:t>
      </w:r>
      <w:r>
        <w:rPr>
          <w:rFonts w:hint="eastAsia" w:ascii="宋体" w:hAnsi="宋体" w:eastAsia="宋体" w:cs="宋体"/>
          <w:sz w:val="24"/>
          <w:lang w:eastAsia="zh-CN"/>
        </w:rPr>
        <w:t>成交通知书</w:t>
      </w:r>
      <w:r>
        <w:rPr>
          <w:rFonts w:hint="eastAsia" w:ascii="宋体" w:hAnsi="宋体" w:eastAsia="宋体" w:cs="宋体"/>
          <w:sz w:val="24"/>
        </w:rPr>
        <w:t>后，在</w:t>
      </w:r>
      <w:r>
        <w:rPr>
          <w:rFonts w:hint="eastAsia" w:ascii="宋体" w:hAnsi="宋体" w:eastAsia="宋体" w:cs="宋体"/>
          <w:sz w:val="24"/>
          <w:lang w:eastAsia="zh-CN"/>
        </w:rPr>
        <w:t>成交通知书</w:t>
      </w:r>
      <w:r>
        <w:rPr>
          <w:rFonts w:hint="eastAsia" w:ascii="宋体" w:hAnsi="宋体" w:eastAsia="宋体" w:cs="宋体"/>
          <w:sz w:val="24"/>
        </w:rPr>
        <w:t>规定的期限内与你方签订合同。</w:t>
      </w:r>
    </w:p>
    <w:p>
      <w:pPr>
        <w:spacing w:line="360" w:lineRule="auto"/>
        <w:ind w:firstLine="482" w:firstLineChars="200"/>
        <w:rPr>
          <w:rFonts w:hint="eastAsia" w:ascii="宋体" w:hAnsi="宋体" w:eastAsia="宋体" w:cs="宋体"/>
          <w:sz w:val="24"/>
        </w:rPr>
      </w:pPr>
      <w:r>
        <w:rPr>
          <w:rFonts w:hint="eastAsia" w:ascii="宋体" w:hAnsi="宋体" w:eastAsia="宋体" w:cs="宋体"/>
          <w:sz w:val="24"/>
        </w:rPr>
        <w:t>（2）我方承诺在合同约定的期限内完成并移交全部合同项目。</w:t>
      </w:r>
    </w:p>
    <w:p>
      <w:pPr>
        <w:spacing w:line="360" w:lineRule="auto"/>
        <w:ind w:firstLine="482" w:firstLineChars="200"/>
        <w:rPr>
          <w:rFonts w:hint="eastAsia" w:ascii="宋体" w:hAnsi="宋体" w:eastAsia="宋体" w:cs="宋体"/>
          <w:sz w:val="24"/>
        </w:rPr>
      </w:pPr>
      <w:r>
        <w:rPr>
          <w:rFonts w:hint="eastAsia" w:ascii="宋体" w:hAnsi="宋体" w:eastAsia="宋体" w:cs="宋体"/>
          <w:sz w:val="24"/>
        </w:rPr>
        <w:t>4、我方在此声明，所递交的</w:t>
      </w:r>
      <w:r>
        <w:rPr>
          <w:rFonts w:hint="eastAsia" w:cs="宋体"/>
          <w:sz w:val="24"/>
          <w:lang w:eastAsia="zh-CN"/>
        </w:rPr>
        <w:t>响应文件</w:t>
      </w:r>
      <w:r>
        <w:rPr>
          <w:rFonts w:hint="eastAsia" w:ascii="宋体" w:hAnsi="宋体" w:eastAsia="宋体" w:cs="宋体"/>
          <w:sz w:val="24"/>
        </w:rPr>
        <w:t>及有关资料内容完整、真实和准确。</w:t>
      </w:r>
    </w:p>
    <w:p>
      <w:pPr>
        <w:spacing w:line="360" w:lineRule="auto"/>
        <w:ind w:firstLine="482" w:firstLineChars="200"/>
        <w:rPr>
          <w:rFonts w:hint="eastAsia" w:ascii="宋体" w:hAnsi="宋体" w:eastAsia="宋体" w:cs="宋体"/>
          <w:sz w:val="24"/>
        </w:rPr>
      </w:pPr>
      <w:r>
        <w:rPr>
          <w:rFonts w:hint="eastAsia" w:ascii="宋体" w:hAnsi="宋体" w:eastAsia="宋体" w:cs="宋体"/>
          <w:sz w:val="24"/>
        </w:rPr>
        <w:t>5、</w:t>
      </w:r>
      <w:r>
        <w:rPr>
          <w:rFonts w:hint="eastAsia" w:ascii="宋体" w:hAnsi="宋体" w:eastAsia="宋体" w:cs="宋体"/>
          <w:sz w:val="24"/>
          <w:u w:val="single"/>
        </w:rPr>
        <w:t xml:space="preserve">                    </w:t>
      </w:r>
      <w:r>
        <w:rPr>
          <w:rFonts w:hint="eastAsia" w:ascii="宋体" w:hAnsi="宋体" w:eastAsia="宋体" w:cs="宋体"/>
          <w:sz w:val="24"/>
        </w:rPr>
        <w:t>（其他补充说明）。</w:t>
      </w:r>
    </w:p>
    <w:p>
      <w:pPr>
        <w:spacing w:line="360" w:lineRule="auto"/>
        <w:rPr>
          <w:rFonts w:hint="eastAsia" w:ascii="宋体" w:hAnsi="宋体" w:eastAsia="宋体" w:cs="宋体"/>
          <w:szCs w:val="21"/>
        </w:rPr>
      </w:pPr>
      <w:r>
        <w:rPr>
          <w:rFonts w:hint="eastAsia" w:ascii="宋体" w:hAnsi="宋体" w:eastAsia="宋体" w:cs="宋体"/>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w:t>
      </w:r>
    </w:p>
    <w:p>
      <w:pPr>
        <w:spacing w:line="360" w:lineRule="auto"/>
        <w:rPr>
          <w:rFonts w:hint="eastAsia" w:ascii="宋体" w:hAnsi="宋体" w:eastAsia="宋体" w:cs="宋体"/>
          <w:sz w:val="24"/>
        </w:rPr>
      </w:pPr>
      <w:r>
        <w:rPr>
          <w:rFonts w:hint="eastAsia" w:cs="宋体"/>
          <w:sz w:val="24"/>
          <w:lang w:eastAsia="zh-CN"/>
        </w:rPr>
        <w:t>供应商</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（盖单位章）</w:t>
      </w:r>
    </w:p>
    <w:p>
      <w:pPr>
        <w:spacing w:line="360" w:lineRule="auto"/>
        <w:rPr>
          <w:rFonts w:hint="eastAsia" w:ascii="宋体" w:hAnsi="宋体" w:eastAsia="宋体" w:cs="宋体"/>
          <w:sz w:val="24"/>
        </w:rPr>
      </w:pPr>
      <w:r>
        <w:rPr>
          <w:rFonts w:hint="eastAsia" w:ascii="宋体" w:hAnsi="宋体" w:eastAsia="宋体" w:cs="宋体"/>
          <w:sz w:val="24"/>
        </w:rPr>
        <w:t>法定代表人或其委托代理人：</w:t>
      </w:r>
      <w:r>
        <w:rPr>
          <w:rFonts w:hint="eastAsia" w:ascii="宋体" w:hAnsi="宋体" w:eastAsia="宋体" w:cs="宋体"/>
          <w:sz w:val="24"/>
          <w:u w:val="single"/>
        </w:rPr>
        <w:t xml:space="preserve">           </w:t>
      </w:r>
      <w:r>
        <w:rPr>
          <w:rFonts w:hint="eastAsia" w:ascii="宋体" w:hAnsi="宋体" w:eastAsia="宋体" w:cs="宋体"/>
          <w:sz w:val="24"/>
        </w:rPr>
        <w:t>（签字或盖章）</w:t>
      </w:r>
    </w:p>
    <w:p>
      <w:pPr>
        <w:spacing w:line="360" w:lineRule="auto"/>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360" w:lineRule="auto"/>
        <w:rPr>
          <w:rFonts w:hint="eastAsia" w:ascii="宋体" w:hAnsi="宋体" w:eastAsia="宋体" w:cs="宋体"/>
          <w:sz w:val="24"/>
        </w:rPr>
      </w:pPr>
      <w:r>
        <w:rPr>
          <w:rFonts w:hint="eastAsia" w:ascii="宋体" w:hAnsi="宋体" w:eastAsia="宋体" w:cs="宋体"/>
          <w:sz w:val="24"/>
        </w:rPr>
        <w:t>电话：</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360" w:lineRule="auto"/>
        <w:rPr>
          <w:rFonts w:hint="eastAsia" w:ascii="宋体" w:hAnsi="宋体" w:eastAsia="宋体" w:cs="宋体"/>
          <w:sz w:val="24"/>
        </w:rPr>
      </w:pPr>
      <w:r>
        <w:rPr>
          <w:rFonts w:hint="eastAsia" w:ascii="宋体" w:hAnsi="宋体" w:eastAsia="宋体" w:cs="宋体"/>
          <w:sz w:val="24"/>
        </w:rPr>
        <w:t>传真：</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360" w:lineRule="auto"/>
        <w:rPr>
          <w:rFonts w:hint="eastAsia" w:ascii="宋体" w:hAnsi="宋体" w:eastAsia="宋体" w:cs="宋体"/>
          <w:sz w:val="24"/>
        </w:rPr>
      </w:pPr>
      <w:r>
        <w:rPr>
          <w:rFonts w:hint="eastAsia" w:ascii="宋体" w:hAnsi="宋体" w:eastAsia="宋体" w:cs="宋体"/>
          <w:sz w:val="24"/>
        </w:rPr>
        <w:t>邮政编码：</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360" w:lineRule="auto"/>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rPr>
          <w:rFonts w:hint="eastAsia" w:ascii="宋体" w:hAnsi="宋体" w:eastAsia="宋体" w:cs="宋体"/>
        </w:rPr>
      </w:pPr>
    </w:p>
    <w:p>
      <w:pPr>
        <w:rPr>
          <w:rFonts w:hint="eastAsia" w:ascii="宋体" w:hAnsi="宋体" w:eastAsia="宋体" w:cs="宋体"/>
          <w:sz w:val="30"/>
          <w:szCs w:val="30"/>
        </w:rPr>
      </w:pPr>
      <w:bookmarkStart w:id="200" w:name="_Toc21646"/>
      <w:bookmarkStart w:id="201" w:name="_Toc469342439"/>
      <w:bookmarkStart w:id="202" w:name="_Toc32454"/>
      <w:bookmarkStart w:id="203" w:name="_Toc7708"/>
      <w:bookmarkStart w:id="204" w:name="_Toc493837054"/>
      <w:bookmarkStart w:id="205" w:name="_Toc493842413"/>
      <w:bookmarkStart w:id="206" w:name="_Toc4771"/>
      <w:r>
        <w:rPr>
          <w:rFonts w:hint="eastAsia" w:ascii="宋体" w:hAnsi="宋体" w:eastAsia="宋体" w:cs="宋体"/>
          <w:sz w:val="30"/>
          <w:szCs w:val="30"/>
        </w:rPr>
        <w:br w:type="page"/>
      </w:r>
    </w:p>
    <w:p>
      <w:pPr>
        <w:pStyle w:val="4"/>
        <w:spacing w:line="600" w:lineRule="exact"/>
        <w:jc w:val="center"/>
        <w:rPr>
          <w:rFonts w:hint="eastAsia" w:ascii="宋体" w:hAnsi="宋体" w:eastAsia="宋体" w:cs="宋体"/>
          <w:sz w:val="30"/>
          <w:szCs w:val="30"/>
        </w:rPr>
      </w:pPr>
      <w:r>
        <w:rPr>
          <w:rFonts w:hint="eastAsia" w:ascii="宋体" w:hAnsi="宋体" w:eastAsia="宋体" w:cs="宋体"/>
          <w:sz w:val="30"/>
          <w:szCs w:val="30"/>
        </w:rPr>
        <w:t>二、报价一览表</w:t>
      </w:r>
      <w:bookmarkEnd w:id="200"/>
      <w:bookmarkEnd w:id="201"/>
      <w:bookmarkEnd w:id="202"/>
      <w:bookmarkEnd w:id="203"/>
      <w:bookmarkEnd w:id="204"/>
      <w:bookmarkEnd w:id="205"/>
      <w:bookmarkEnd w:id="206"/>
    </w:p>
    <w:tbl>
      <w:tblPr>
        <w:tblStyle w:val="22"/>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3"/>
        <w:gridCol w:w="1707"/>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exact"/>
        </w:trPr>
        <w:tc>
          <w:tcPr>
            <w:tcW w:w="1943" w:type="dxa"/>
            <w:noWrap/>
            <w:vAlign w:val="center"/>
          </w:tcPr>
          <w:p>
            <w:pPr>
              <w:keepNext w:val="0"/>
              <w:keepLines w:val="0"/>
              <w:pageBreakBefore w:val="0"/>
              <w:widowControl w:val="0"/>
              <w:tabs>
                <w:tab w:val="left" w:pos="2730"/>
              </w:tabs>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color w:val="000000"/>
                <w:sz w:val="24"/>
              </w:rPr>
            </w:pPr>
            <w:r>
              <w:rPr>
                <w:rFonts w:hint="eastAsia" w:ascii="宋体" w:hAnsi="宋体" w:eastAsia="宋体" w:cs="宋体"/>
                <w:color w:val="000000"/>
                <w:sz w:val="24"/>
              </w:rPr>
              <w:t>项目名称</w:t>
            </w:r>
          </w:p>
        </w:tc>
        <w:tc>
          <w:tcPr>
            <w:tcW w:w="7377" w:type="dxa"/>
            <w:gridSpan w:val="2"/>
            <w:noWrap/>
            <w:vAlign w:val="center"/>
          </w:tcPr>
          <w:p>
            <w:pPr>
              <w:keepNext w:val="0"/>
              <w:keepLines w:val="0"/>
              <w:pageBreakBefore w:val="0"/>
              <w:widowControl w:val="0"/>
              <w:tabs>
                <w:tab w:val="left" w:pos="2730"/>
              </w:tabs>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exact"/>
        </w:trPr>
        <w:tc>
          <w:tcPr>
            <w:tcW w:w="1943" w:type="dxa"/>
            <w:noWrap/>
            <w:vAlign w:val="center"/>
          </w:tcPr>
          <w:p>
            <w:pPr>
              <w:keepNext w:val="0"/>
              <w:keepLines w:val="0"/>
              <w:pageBreakBefore w:val="0"/>
              <w:widowControl w:val="0"/>
              <w:tabs>
                <w:tab w:val="left" w:pos="2730"/>
              </w:tabs>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color w:val="000000"/>
                <w:sz w:val="24"/>
              </w:rPr>
            </w:pPr>
            <w:r>
              <w:rPr>
                <w:rFonts w:hint="eastAsia" w:ascii="宋体" w:hAnsi="宋体" w:eastAsia="宋体" w:cs="宋体"/>
                <w:color w:val="000000"/>
                <w:sz w:val="24"/>
              </w:rPr>
              <w:t>供应商名称</w:t>
            </w:r>
          </w:p>
        </w:tc>
        <w:tc>
          <w:tcPr>
            <w:tcW w:w="7377" w:type="dxa"/>
            <w:gridSpan w:val="2"/>
            <w:noWrap/>
            <w:vAlign w:val="center"/>
          </w:tcPr>
          <w:p>
            <w:pPr>
              <w:keepNext w:val="0"/>
              <w:keepLines w:val="0"/>
              <w:pageBreakBefore w:val="0"/>
              <w:widowControl w:val="0"/>
              <w:tabs>
                <w:tab w:val="left" w:pos="2730"/>
              </w:tabs>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trPr>
        <w:tc>
          <w:tcPr>
            <w:tcW w:w="1943" w:type="dxa"/>
            <w:vMerge w:val="restart"/>
            <w:noWrap/>
            <w:vAlign w:val="center"/>
          </w:tcPr>
          <w:p>
            <w:pPr>
              <w:keepNext w:val="0"/>
              <w:keepLines w:val="0"/>
              <w:pageBreakBefore w:val="0"/>
              <w:widowControl w:val="0"/>
              <w:tabs>
                <w:tab w:val="left" w:pos="2730"/>
              </w:tabs>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color w:val="000000"/>
                <w:sz w:val="24"/>
              </w:rPr>
            </w:pPr>
            <w:r>
              <w:rPr>
                <w:rFonts w:hint="eastAsia" w:ascii="宋体" w:hAnsi="宋体" w:eastAsia="宋体" w:cs="宋体"/>
                <w:color w:val="000000"/>
                <w:sz w:val="24"/>
              </w:rPr>
              <w:t>投标报价</w:t>
            </w:r>
          </w:p>
          <w:p>
            <w:pPr>
              <w:keepNext w:val="0"/>
              <w:keepLines w:val="0"/>
              <w:pageBreakBefore w:val="0"/>
              <w:widowControl w:val="0"/>
              <w:tabs>
                <w:tab w:val="left" w:pos="2730"/>
              </w:tabs>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color w:val="000000"/>
                <w:sz w:val="24"/>
              </w:rPr>
            </w:pPr>
            <w:r>
              <w:rPr>
                <w:rFonts w:hint="eastAsia" w:ascii="宋体" w:hAnsi="宋体" w:eastAsia="宋体" w:cs="宋体"/>
                <w:color w:val="000000"/>
                <w:sz w:val="24"/>
              </w:rPr>
              <w:t>（元）</w:t>
            </w:r>
          </w:p>
        </w:tc>
        <w:tc>
          <w:tcPr>
            <w:tcW w:w="1707" w:type="dxa"/>
            <w:noWrap/>
            <w:vAlign w:val="center"/>
          </w:tcPr>
          <w:p>
            <w:pPr>
              <w:keepNext w:val="0"/>
              <w:keepLines w:val="0"/>
              <w:pageBreakBefore w:val="0"/>
              <w:widowControl w:val="0"/>
              <w:tabs>
                <w:tab w:val="left" w:pos="2730"/>
              </w:tabs>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color w:val="000000"/>
                <w:sz w:val="24"/>
              </w:rPr>
            </w:pPr>
            <w:r>
              <w:rPr>
                <w:rFonts w:hint="eastAsia" w:ascii="宋体" w:hAnsi="宋体" w:eastAsia="宋体" w:cs="宋体"/>
                <w:color w:val="000000"/>
                <w:sz w:val="24"/>
              </w:rPr>
              <w:t>大写</w:t>
            </w:r>
          </w:p>
        </w:tc>
        <w:tc>
          <w:tcPr>
            <w:tcW w:w="5670" w:type="dxa"/>
            <w:noWrap/>
            <w:vAlign w:val="center"/>
          </w:tcPr>
          <w:p>
            <w:pPr>
              <w:keepNext w:val="0"/>
              <w:keepLines w:val="0"/>
              <w:pageBreakBefore w:val="0"/>
              <w:widowControl w:val="0"/>
              <w:tabs>
                <w:tab w:val="left" w:pos="2730"/>
              </w:tabs>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trPr>
        <w:tc>
          <w:tcPr>
            <w:tcW w:w="1943" w:type="dxa"/>
            <w:vMerge w:val="continue"/>
            <w:noWrap/>
            <w:vAlign w:val="center"/>
          </w:tcPr>
          <w:p>
            <w:pPr>
              <w:keepNext w:val="0"/>
              <w:keepLines w:val="0"/>
              <w:pageBreakBefore w:val="0"/>
              <w:widowControl w:val="0"/>
              <w:tabs>
                <w:tab w:val="left" w:pos="2730"/>
              </w:tabs>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b/>
                <w:color w:val="000000"/>
                <w:sz w:val="24"/>
              </w:rPr>
            </w:pPr>
          </w:p>
        </w:tc>
        <w:tc>
          <w:tcPr>
            <w:tcW w:w="1707" w:type="dxa"/>
            <w:noWrap/>
            <w:vAlign w:val="center"/>
          </w:tcPr>
          <w:p>
            <w:pPr>
              <w:keepNext w:val="0"/>
              <w:keepLines w:val="0"/>
              <w:pageBreakBefore w:val="0"/>
              <w:widowControl w:val="0"/>
              <w:tabs>
                <w:tab w:val="left" w:pos="2730"/>
              </w:tabs>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sz w:val="24"/>
              </w:rPr>
            </w:pPr>
            <w:r>
              <w:rPr>
                <w:rFonts w:hint="eastAsia" w:ascii="宋体" w:hAnsi="宋体" w:eastAsia="宋体" w:cs="宋体"/>
                <w:color w:val="000000"/>
                <w:sz w:val="24"/>
              </w:rPr>
              <w:t>小写</w:t>
            </w:r>
          </w:p>
        </w:tc>
        <w:tc>
          <w:tcPr>
            <w:tcW w:w="5670" w:type="dxa"/>
            <w:noWrap/>
            <w:vAlign w:val="center"/>
          </w:tcPr>
          <w:p>
            <w:pPr>
              <w:keepNext w:val="0"/>
              <w:keepLines w:val="0"/>
              <w:pageBreakBefore w:val="0"/>
              <w:widowControl w:val="0"/>
              <w:tabs>
                <w:tab w:val="left" w:pos="2730"/>
              </w:tabs>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exact"/>
        </w:trPr>
        <w:tc>
          <w:tcPr>
            <w:tcW w:w="1943" w:type="dxa"/>
            <w:noWrap/>
            <w:vAlign w:val="center"/>
          </w:tcPr>
          <w:p>
            <w:pPr>
              <w:keepNext w:val="0"/>
              <w:keepLines w:val="0"/>
              <w:pageBreakBefore w:val="0"/>
              <w:widowControl w:val="0"/>
              <w:tabs>
                <w:tab w:val="left" w:pos="2730"/>
              </w:tabs>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bCs/>
                <w:color w:val="000000"/>
                <w:sz w:val="24"/>
              </w:rPr>
            </w:pPr>
            <w:r>
              <w:rPr>
                <w:rFonts w:hint="eastAsia" w:ascii="宋体" w:hAnsi="宋体" w:eastAsia="宋体" w:cs="宋体"/>
                <w:bCs/>
                <w:color w:val="000000"/>
                <w:sz w:val="24"/>
              </w:rPr>
              <w:t>期限</w:t>
            </w:r>
          </w:p>
        </w:tc>
        <w:tc>
          <w:tcPr>
            <w:tcW w:w="7377" w:type="dxa"/>
            <w:gridSpan w:val="2"/>
            <w:noWrap/>
            <w:vAlign w:val="center"/>
          </w:tcPr>
          <w:p>
            <w:pPr>
              <w:keepNext w:val="0"/>
              <w:keepLines w:val="0"/>
              <w:pageBreakBefore w:val="0"/>
              <w:widowControl w:val="0"/>
              <w:tabs>
                <w:tab w:val="left" w:pos="2730"/>
              </w:tabs>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exact"/>
        </w:trPr>
        <w:tc>
          <w:tcPr>
            <w:tcW w:w="1943" w:type="dxa"/>
            <w:noWrap/>
            <w:vAlign w:val="center"/>
          </w:tcPr>
          <w:p>
            <w:pPr>
              <w:keepNext w:val="0"/>
              <w:keepLines w:val="0"/>
              <w:pageBreakBefore w:val="0"/>
              <w:widowControl w:val="0"/>
              <w:tabs>
                <w:tab w:val="left" w:pos="2730"/>
              </w:tabs>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bCs/>
                <w:color w:val="000000"/>
                <w:sz w:val="24"/>
              </w:rPr>
            </w:pPr>
            <w:r>
              <w:rPr>
                <w:rFonts w:hint="eastAsia" w:ascii="宋体" w:hAnsi="宋体" w:eastAsia="宋体" w:cs="宋体"/>
                <w:bCs/>
                <w:color w:val="000000"/>
                <w:sz w:val="24"/>
              </w:rPr>
              <w:t>项目负责人</w:t>
            </w:r>
          </w:p>
        </w:tc>
        <w:tc>
          <w:tcPr>
            <w:tcW w:w="7377" w:type="dxa"/>
            <w:gridSpan w:val="2"/>
            <w:noWrap/>
            <w:vAlign w:val="center"/>
          </w:tcPr>
          <w:p>
            <w:pPr>
              <w:keepNext w:val="0"/>
              <w:keepLines w:val="0"/>
              <w:pageBreakBefore w:val="0"/>
              <w:widowControl w:val="0"/>
              <w:tabs>
                <w:tab w:val="left" w:pos="2730"/>
              </w:tabs>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exact"/>
        </w:trPr>
        <w:tc>
          <w:tcPr>
            <w:tcW w:w="1943" w:type="dxa"/>
            <w:noWrap/>
            <w:vAlign w:val="center"/>
          </w:tcPr>
          <w:p>
            <w:pPr>
              <w:keepNext w:val="0"/>
              <w:keepLines w:val="0"/>
              <w:pageBreakBefore w:val="0"/>
              <w:widowControl w:val="0"/>
              <w:tabs>
                <w:tab w:val="left" w:pos="2730"/>
              </w:tabs>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bCs/>
                <w:color w:val="000000"/>
                <w:sz w:val="24"/>
                <w:lang w:val="en-US" w:eastAsia="zh-CN"/>
              </w:rPr>
            </w:pPr>
            <w:r>
              <w:rPr>
                <w:rFonts w:hint="eastAsia" w:ascii="宋体" w:hAnsi="宋体" w:eastAsia="宋体" w:cs="宋体"/>
                <w:bCs/>
                <w:color w:val="000000"/>
                <w:sz w:val="24"/>
                <w:lang w:val="en-US" w:eastAsia="zh-CN"/>
              </w:rPr>
              <w:t>服务要求</w:t>
            </w:r>
          </w:p>
        </w:tc>
        <w:tc>
          <w:tcPr>
            <w:tcW w:w="7377" w:type="dxa"/>
            <w:gridSpan w:val="2"/>
            <w:noWrap/>
            <w:vAlign w:val="center"/>
          </w:tcPr>
          <w:p>
            <w:pPr>
              <w:keepNext w:val="0"/>
              <w:keepLines w:val="0"/>
              <w:pageBreakBefore w:val="0"/>
              <w:widowControl w:val="0"/>
              <w:tabs>
                <w:tab w:val="left" w:pos="2730"/>
              </w:tabs>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exact"/>
        </w:trPr>
        <w:tc>
          <w:tcPr>
            <w:tcW w:w="1943" w:type="dxa"/>
            <w:noWrap/>
            <w:vAlign w:val="center"/>
          </w:tcPr>
          <w:p>
            <w:pPr>
              <w:keepNext w:val="0"/>
              <w:keepLines w:val="0"/>
              <w:pageBreakBefore w:val="0"/>
              <w:widowControl w:val="0"/>
              <w:tabs>
                <w:tab w:val="left" w:pos="2730"/>
              </w:tabs>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bCs/>
                <w:color w:val="000000"/>
                <w:sz w:val="24"/>
              </w:rPr>
            </w:pPr>
            <w:r>
              <w:rPr>
                <w:rFonts w:hint="eastAsia" w:ascii="宋体" w:hAnsi="宋体" w:eastAsia="宋体" w:cs="宋体"/>
                <w:bCs/>
                <w:color w:val="000000"/>
                <w:sz w:val="24"/>
              </w:rPr>
              <w:t>对磋商文件的认同程度</w:t>
            </w:r>
          </w:p>
        </w:tc>
        <w:tc>
          <w:tcPr>
            <w:tcW w:w="7377" w:type="dxa"/>
            <w:gridSpan w:val="2"/>
            <w:noWrap/>
            <w:vAlign w:val="center"/>
          </w:tcPr>
          <w:p>
            <w:pPr>
              <w:keepNext w:val="0"/>
              <w:keepLines w:val="0"/>
              <w:pageBreakBefore w:val="0"/>
              <w:widowControl w:val="0"/>
              <w:tabs>
                <w:tab w:val="left" w:pos="2730"/>
              </w:tabs>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exact"/>
        </w:trPr>
        <w:tc>
          <w:tcPr>
            <w:tcW w:w="1943" w:type="dxa"/>
            <w:noWrap/>
            <w:vAlign w:val="center"/>
          </w:tcPr>
          <w:p>
            <w:pPr>
              <w:keepNext w:val="0"/>
              <w:keepLines w:val="0"/>
              <w:pageBreakBefore w:val="0"/>
              <w:widowControl w:val="0"/>
              <w:tabs>
                <w:tab w:val="left" w:pos="2730"/>
              </w:tabs>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bCs/>
                <w:color w:val="000000"/>
                <w:sz w:val="24"/>
              </w:rPr>
            </w:pPr>
            <w:r>
              <w:rPr>
                <w:rFonts w:hint="eastAsia" w:ascii="宋体" w:hAnsi="宋体" w:eastAsia="宋体" w:cs="宋体"/>
                <w:bCs/>
                <w:color w:val="000000"/>
                <w:sz w:val="24"/>
              </w:rPr>
              <w:t>备注</w:t>
            </w:r>
          </w:p>
        </w:tc>
        <w:tc>
          <w:tcPr>
            <w:tcW w:w="7377" w:type="dxa"/>
            <w:gridSpan w:val="2"/>
            <w:noWrap/>
            <w:vAlign w:val="center"/>
          </w:tcPr>
          <w:p>
            <w:pPr>
              <w:keepNext w:val="0"/>
              <w:keepLines w:val="0"/>
              <w:pageBreakBefore w:val="0"/>
              <w:widowControl w:val="0"/>
              <w:tabs>
                <w:tab w:val="left" w:pos="2730"/>
              </w:tabs>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color w:val="000000"/>
                <w:sz w:val="24"/>
              </w:rPr>
            </w:pPr>
          </w:p>
        </w:tc>
      </w:tr>
    </w:tbl>
    <w:p>
      <w:pPr>
        <w:rPr>
          <w:rFonts w:hint="eastAsia" w:ascii="宋体" w:hAnsi="宋体" w:eastAsia="宋体" w:cs="宋体"/>
          <w:b/>
          <w:bCs/>
          <w:sz w:val="24"/>
        </w:rPr>
      </w:pPr>
    </w:p>
    <w:p>
      <w:pPr>
        <w:ind w:left="968" w:hanging="964" w:hangingChars="400"/>
        <w:rPr>
          <w:rFonts w:hint="eastAsia" w:ascii="宋体" w:hAnsi="宋体" w:eastAsia="宋体" w:cs="宋体"/>
          <w:bCs/>
          <w:color w:val="000000"/>
          <w:sz w:val="24"/>
        </w:rPr>
      </w:pPr>
    </w:p>
    <w:p>
      <w:pPr>
        <w:spacing w:line="500" w:lineRule="exact"/>
        <w:rPr>
          <w:rFonts w:hint="eastAsia" w:ascii="宋体" w:hAnsi="宋体" w:eastAsia="宋体" w:cs="宋体"/>
          <w:sz w:val="24"/>
        </w:rPr>
      </w:pPr>
      <w:bookmarkStart w:id="207" w:name="_Toc493842414"/>
      <w:bookmarkStart w:id="208" w:name="_Toc493837055"/>
      <w:bookmarkStart w:id="209" w:name="_Toc469342440"/>
      <w:r>
        <w:rPr>
          <w:rFonts w:hint="eastAsia" w:ascii="宋体" w:hAnsi="宋体" w:eastAsia="宋体" w:cs="宋体"/>
          <w:sz w:val="24"/>
        </w:rPr>
        <w:t>供应商：（盖单位章）</w:t>
      </w:r>
    </w:p>
    <w:p>
      <w:pPr>
        <w:spacing w:line="500" w:lineRule="exact"/>
        <w:rPr>
          <w:rFonts w:hint="eastAsia" w:ascii="宋体" w:hAnsi="宋体" w:eastAsia="宋体" w:cs="宋体"/>
          <w:sz w:val="24"/>
        </w:rPr>
      </w:pPr>
      <w:r>
        <w:rPr>
          <w:rFonts w:hint="eastAsia" w:ascii="宋体" w:hAnsi="宋体" w:eastAsia="宋体" w:cs="宋体"/>
          <w:sz w:val="24"/>
        </w:rPr>
        <w:t>供应商法定代表人或其委托代理人：（签字或盖章）</w:t>
      </w:r>
    </w:p>
    <w:p>
      <w:pPr>
        <w:spacing w:line="500" w:lineRule="exact"/>
        <w:ind w:firstLine="723" w:firstLineChars="300"/>
        <w:rPr>
          <w:rFonts w:hint="eastAsia" w:ascii="宋体" w:hAnsi="宋体" w:eastAsia="宋体" w:cs="宋体"/>
          <w:sz w:val="24"/>
        </w:rPr>
      </w:pP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 xml:space="preserve"> 月</w:t>
      </w:r>
      <w:r>
        <w:rPr>
          <w:rFonts w:hint="eastAsia" w:ascii="宋体" w:hAnsi="宋体" w:eastAsia="宋体" w:cs="宋体"/>
          <w:sz w:val="24"/>
          <w:lang w:val="en-US" w:eastAsia="zh-CN"/>
        </w:rPr>
        <w:t xml:space="preserve">  </w:t>
      </w:r>
      <w:r>
        <w:rPr>
          <w:rFonts w:hint="eastAsia" w:ascii="宋体" w:hAnsi="宋体" w:eastAsia="宋体" w:cs="宋体"/>
          <w:sz w:val="24"/>
        </w:rPr>
        <w:t xml:space="preserve"> 日</w:t>
      </w:r>
      <w:bookmarkEnd w:id="207"/>
      <w:bookmarkEnd w:id="208"/>
      <w:bookmarkEnd w:id="209"/>
      <w:bookmarkStart w:id="210" w:name="_Toc493842415"/>
      <w:bookmarkStart w:id="211" w:name="_Toc179632811"/>
      <w:bookmarkStart w:id="212" w:name="_Toc152045791"/>
      <w:bookmarkStart w:id="213" w:name="_Toc493837056"/>
      <w:bookmarkStart w:id="214" w:name="_Toc152042580"/>
      <w:bookmarkStart w:id="215" w:name="_Toc144974860"/>
      <w:bookmarkStart w:id="216" w:name="_Toc16041"/>
      <w:bookmarkStart w:id="217" w:name="_Toc469342441"/>
      <w:bookmarkStart w:id="218" w:name="_Toc285809535"/>
    </w:p>
    <w:p>
      <w:pPr>
        <w:spacing w:line="500" w:lineRule="exact"/>
        <w:rPr>
          <w:rFonts w:hint="eastAsia" w:ascii="宋体" w:hAnsi="宋体" w:eastAsia="宋体" w:cs="宋体"/>
        </w:rPr>
      </w:pPr>
      <w:r>
        <w:rPr>
          <w:rFonts w:hint="eastAsia" w:ascii="宋体" w:hAnsi="宋体" w:eastAsia="宋体" w:cs="宋体"/>
          <w:sz w:val="24"/>
        </w:rPr>
        <w:br w:type="page"/>
      </w:r>
    </w:p>
    <w:p>
      <w:pPr>
        <w:pStyle w:val="4"/>
        <w:spacing w:line="600" w:lineRule="exact"/>
        <w:jc w:val="center"/>
        <w:rPr>
          <w:rFonts w:hint="eastAsia" w:ascii="宋体" w:hAnsi="宋体" w:eastAsia="宋体" w:cs="宋体"/>
          <w:sz w:val="30"/>
          <w:szCs w:val="30"/>
        </w:rPr>
      </w:pPr>
      <w:bookmarkStart w:id="219" w:name="_Toc20666"/>
      <w:bookmarkStart w:id="220" w:name="_Toc22990"/>
      <w:bookmarkStart w:id="221" w:name="_Toc3947"/>
      <w:r>
        <w:rPr>
          <w:rFonts w:hint="eastAsia" w:ascii="宋体" w:hAnsi="宋体" w:eastAsia="宋体" w:cs="宋体"/>
          <w:sz w:val="30"/>
          <w:szCs w:val="30"/>
        </w:rPr>
        <w:t>三、法定代表人身份证明</w:t>
      </w:r>
      <w:bookmarkEnd w:id="210"/>
      <w:bookmarkEnd w:id="211"/>
      <w:bookmarkEnd w:id="212"/>
      <w:bookmarkEnd w:id="213"/>
      <w:bookmarkEnd w:id="214"/>
      <w:bookmarkEnd w:id="215"/>
      <w:bookmarkEnd w:id="216"/>
      <w:bookmarkEnd w:id="217"/>
      <w:bookmarkEnd w:id="218"/>
      <w:bookmarkEnd w:id="219"/>
      <w:bookmarkEnd w:id="220"/>
      <w:bookmarkEnd w:id="221"/>
    </w:p>
    <w:p>
      <w:pPr>
        <w:spacing w:line="480" w:lineRule="exact"/>
        <w:rPr>
          <w:rFonts w:hint="eastAsia" w:ascii="宋体" w:hAnsi="宋体" w:eastAsia="宋体" w:cs="宋体"/>
          <w:sz w:val="24"/>
        </w:rPr>
      </w:pPr>
    </w:p>
    <w:p>
      <w:pPr>
        <w:spacing w:line="480" w:lineRule="exact"/>
        <w:rPr>
          <w:rFonts w:hint="eastAsia" w:ascii="宋体" w:hAnsi="宋体" w:eastAsia="宋体" w:cs="宋体"/>
          <w:sz w:val="24"/>
        </w:rPr>
      </w:pPr>
    </w:p>
    <w:p>
      <w:pPr>
        <w:spacing w:line="480" w:lineRule="auto"/>
        <w:rPr>
          <w:rFonts w:hint="eastAsia" w:ascii="宋体" w:hAnsi="宋体" w:eastAsia="宋体" w:cs="宋体"/>
          <w:sz w:val="24"/>
          <w:u w:val="single"/>
        </w:rPr>
      </w:pPr>
      <w:r>
        <w:rPr>
          <w:rFonts w:hint="eastAsia" w:ascii="宋体" w:hAnsi="宋体" w:eastAsia="宋体" w:cs="宋体"/>
          <w:sz w:val="24"/>
        </w:rPr>
        <w:t>供应商名称：</w:t>
      </w:r>
    </w:p>
    <w:p>
      <w:pPr>
        <w:spacing w:line="480" w:lineRule="auto"/>
        <w:rPr>
          <w:rFonts w:hint="eastAsia" w:ascii="宋体" w:hAnsi="宋体" w:eastAsia="宋体" w:cs="宋体"/>
          <w:sz w:val="24"/>
        </w:rPr>
      </w:pPr>
      <w:r>
        <w:rPr>
          <w:rFonts w:hint="eastAsia" w:ascii="宋体" w:hAnsi="宋体" w:eastAsia="宋体" w:cs="宋体"/>
          <w:sz w:val="24"/>
        </w:rPr>
        <w:t>单位性质：</w:t>
      </w:r>
    </w:p>
    <w:p>
      <w:pPr>
        <w:spacing w:line="480" w:lineRule="auto"/>
        <w:rPr>
          <w:rFonts w:hint="eastAsia" w:ascii="宋体" w:hAnsi="宋体" w:eastAsia="宋体" w:cs="宋体"/>
          <w:sz w:val="24"/>
        </w:rPr>
      </w:pPr>
      <w:r>
        <w:rPr>
          <w:rFonts w:hint="eastAsia" w:ascii="宋体" w:hAnsi="宋体" w:eastAsia="宋体" w:cs="宋体"/>
          <w:sz w:val="24"/>
        </w:rPr>
        <w:t>地址：</w:t>
      </w:r>
    </w:p>
    <w:p>
      <w:pPr>
        <w:spacing w:line="480" w:lineRule="auto"/>
        <w:rPr>
          <w:rFonts w:hint="eastAsia" w:ascii="宋体" w:hAnsi="宋体" w:eastAsia="宋体" w:cs="宋体"/>
          <w:sz w:val="24"/>
        </w:rPr>
      </w:pPr>
      <w:r>
        <w:rPr>
          <w:rFonts w:hint="eastAsia" w:ascii="宋体" w:hAnsi="宋体" w:eastAsia="宋体" w:cs="宋体"/>
          <w:sz w:val="24"/>
        </w:rPr>
        <w:t>成立时间：</w:t>
      </w:r>
      <w:r>
        <w:rPr>
          <w:rFonts w:hint="eastAsia" w:cs="宋体"/>
          <w:sz w:val="24"/>
          <w:lang w:val="en-US" w:eastAsia="zh-CN"/>
        </w:rPr>
        <w:t xml:space="preserve">   </w:t>
      </w:r>
      <w:r>
        <w:rPr>
          <w:rFonts w:hint="eastAsia" w:ascii="宋体" w:hAnsi="宋体" w:eastAsia="宋体" w:cs="宋体"/>
          <w:sz w:val="24"/>
        </w:rPr>
        <w:t>年</w:t>
      </w:r>
      <w:r>
        <w:rPr>
          <w:rFonts w:hint="eastAsia" w:cs="宋体"/>
          <w:sz w:val="24"/>
          <w:lang w:val="en-US" w:eastAsia="zh-CN"/>
        </w:rPr>
        <w:t xml:space="preserve">  </w:t>
      </w:r>
      <w:r>
        <w:rPr>
          <w:rFonts w:hint="eastAsia" w:ascii="宋体" w:hAnsi="宋体" w:eastAsia="宋体" w:cs="宋体"/>
          <w:sz w:val="24"/>
        </w:rPr>
        <w:t>月</w:t>
      </w:r>
      <w:r>
        <w:rPr>
          <w:rFonts w:hint="eastAsia" w:cs="宋体"/>
          <w:sz w:val="24"/>
          <w:lang w:val="en-US" w:eastAsia="zh-CN"/>
        </w:rPr>
        <w:t xml:space="preserve">   </w:t>
      </w:r>
      <w:r>
        <w:rPr>
          <w:rFonts w:hint="eastAsia" w:ascii="宋体" w:hAnsi="宋体" w:eastAsia="宋体" w:cs="宋体"/>
          <w:sz w:val="24"/>
        </w:rPr>
        <w:t>日</w:t>
      </w:r>
    </w:p>
    <w:p>
      <w:pPr>
        <w:spacing w:line="480" w:lineRule="auto"/>
        <w:rPr>
          <w:rFonts w:hint="eastAsia" w:ascii="宋体" w:hAnsi="宋体" w:eastAsia="宋体" w:cs="宋体"/>
          <w:sz w:val="24"/>
        </w:rPr>
      </w:pPr>
      <w:r>
        <w:rPr>
          <w:rFonts w:hint="eastAsia" w:ascii="宋体" w:hAnsi="宋体" w:eastAsia="宋体" w:cs="宋体"/>
          <w:sz w:val="24"/>
        </w:rPr>
        <w:t>经营期限：</w:t>
      </w:r>
    </w:p>
    <w:p>
      <w:pPr>
        <w:spacing w:line="480" w:lineRule="auto"/>
        <w:rPr>
          <w:rFonts w:hint="eastAsia" w:ascii="宋体" w:hAnsi="宋体" w:eastAsia="宋体" w:cs="宋体"/>
          <w:sz w:val="24"/>
        </w:rPr>
      </w:pPr>
      <w:r>
        <w:rPr>
          <w:rFonts w:hint="eastAsia" w:ascii="宋体" w:hAnsi="宋体" w:eastAsia="宋体" w:cs="宋体"/>
          <w:sz w:val="24"/>
        </w:rPr>
        <w:t>姓名： 性别： 年龄：职务：</w:t>
      </w:r>
    </w:p>
    <w:p>
      <w:pPr>
        <w:spacing w:line="480" w:lineRule="auto"/>
        <w:rPr>
          <w:rFonts w:hint="eastAsia" w:ascii="宋体" w:hAnsi="宋体" w:eastAsia="宋体" w:cs="宋体"/>
          <w:sz w:val="24"/>
        </w:rPr>
      </w:pPr>
      <w:r>
        <w:rPr>
          <w:rFonts w:hint="eastAsia" w:ascii="宋体" w:hAnsi="宋体" w:eastAsia="宋体" w:cs="宋体"/>
          <w:sz w:val="24"/>
        </w:rPr>
        <w:t>系（供应商名称）的法定代表人。</w:t>
      </w:r>
    </w:p>
    <w:p>
      <w:pPr>
        <w:spacing w:line="480" w:lineRule="auto"/>
        <w:ind w:firstLine="482" w:firstLineChars="200"/>
        <w:rPr>
          <w:rFonts w:hint="eastAsia" w:ascii="宋体" w:hAnsi="宋体" w:eastAsia="宋体" w:cs="宋体"/>
          <w:sz w:val="24"/>
        </w:rPr>
      </w:pPr>
      <w:r>
        <w:rPr>
          <w:rFonts w:hint="eastAsia" w:ascii="宋体" w:hAnsi="宋体" w:eastAsia="宋体" w:cs="宋体"/>
          <w:sz w:val="24"/>
        </w:rPr>
        <w:t>特此证明。</w:t>
      </w:r>
    </w:p>
    <w:p>
      <w:pPr>
        <w:spacing w:line="480" w:lineRule="auto"/>
        <w:ind w:firstLine="482" w:firstLineChars="200"/>
        <w:rPr>
          <w:rFonts w:hint="eastAsia" w:ascii="宋体" w:hAnsi="宋体" w:eastAsia="宋体" w:cs="宋体"/>
          <w:sz w:val="24"/>
        </w:rPr>
      </w:pPr>
      <w:r>
        <w:rPr>
          <w:rFonts w:hint="eastAsia" w:ascii="宋体" w:hAnsi="宋体" w:eastAsia="宋体" w:cs="宋体"/>
          <w:sz w:val="24"/>
        </w:rPr>
        <w:t>附：法定代表人身份证复印件</w:t>
      </w:r>
    </w:p>
    <w:p>
      <w:pPr>
        <w:spacing w:line="480" w:lineRule="exact"/>
        <w:ind w:firstLine="482" w:firstLineChars="200"/>
        <w:rPr>
          <w:rFonts w:hint="eastAsia" w:ascii="宋体" w:hAnsi="宋体" w:eastAsia="宋体" w:cs="宋体"/>
          <w:sz w:val="24"/>
        </w:rPr>
      </w:pPr>
    </w:p>
    <w:p>
      <w:pPr>
        <w:spacing w:line="480" w:lineRule="exact"/>
        <w:ind w:firstLine="482" w:firstLineChars="200"/>
        <w:rPr>
          <w:rFonts w:hint="eastAsia" w:ascii="宋体" w:hAnsi="宋体" w:eastAsia="宋体" w:cs="宋体"/>
          <w:sz w:val="24"/>
        </w:rPr>
      </w:pPr>
    </w:p>
    <w:p>
      <w:pPr>
        <w:spacing w:line="480" w:lineRule="exact"/>
        <w:ind w:firstLine="482" w:firstLineChars="200"/>
        <w:rPr>
          <w:rFonts w:hint="eastAsia" w:ascii="宋体" w:hAnsi="宋体" w:eastAsia="宋体" w:cs="宋体"/>
          <w:sz w:val="24"/>
        </w:rPr>
      </w:pPr>
    </w:p>
    <w:p>
      <w:pPr>
        <w:spacing w:line="480" w:lineRule="exact"/>
        <w:ind w:firstLine="482" w:firstLineChars="200"/>
        <w:rPr>
          <w:rFonts w:hint="eastAsia" w:ascii="宋体" w:hAnsi="宋体" w:eastAsia="宋体" w:cs="宋体"/>
          <w:sz w:val="24"/>
        </w:rPr>
      </w:pPr>
    </w:p>
    <w:p>
      <w:pPr>
        <w:spacing w:line="480" w:lineRule="exact"/>
        <w:ind w:firstLine="482" w:firstLineChars="200"/>
        <w:rPr>
          <w:rFonts w:hint="eastAsia" w:ascii="宋体" w:hAnsi="宋体" w:eastAsia="宋体" w:cs="宋体"/>
          <w:sz w:val="24"/>
        </w:rPr>
      </w:pPr>
    </w:p>
    <w:p>
      <w:pPr>
        <w:spacing w:line="480" w:lineRule="exact"/>
        <w:ind w:firstLine="482" w:firstLineChars="200"/>
        <w:rPr>
          <w:rFonts w:hint="eastAsia" w:ascii="宋体" w:hAnsi="宋体" w:eastAsia="宋体" w:cs="宋体"/>
          <w:sz w:val="24"/>
        </w:rPr>
      </w:pPr>
    </w:p>
    <w:p>
      <w:pPr>
        <w:spacing w:line="500" w:lineRule="exact"/>
        <w:rPr>
          <w:rFonts w:hint="eastAsia" w:ascii="宋体" w:hAnsi="宋体" w:eastAsia="宋体" w:cs="宋体"/>
          <w:sz w:val="24"/>
        </w:rPr>
      </w:pPr>
      <w:r>
        <w:rPr>
          <w:rFonts w:hint="eastAsia" w:ascii="宋体" w:hAnsi="宋体" w:eastAsia="宋体" w:cs="宋体"/>
          <w:sz w:val="24"/>
        </w:rPr>
        <w:t>供应商：（盖单位章）</w:t>
      </w:r>
    </w:p>
    <w:p>
      <w:pPr>
        <w:spacing w:line="500" w:lineRule="exact"/>
        <w:rPr>
          <w:rFonts w:hint="eastAsia" w:ascii="宋体" w:hAnsi="宋体" w:eastAsia="宋体" w:cs="宋体"/>
          <w:sz w:val="24"/>
        </w:rPr>
      </w:pPr>
      <w:r>
        <w:rPr>
          <w:rFonts w:hint="eastAsia" w:ascii="宋体" w:hAnsi="宋体" w:eastAsia="宋体" w:cs="宋体"/>
          <w:sz w:val="24"/>
        </w:rPr>
        <w:t>法定代表人：（签字或盖章）</w:t>
      </w:r>
    </w:p>
    <w:p>
      <w:pPr>
        <w:spacing w:line="500" w:lineRule="exact"/>
        <w:rPr>
          <w:rFonts w:hint="eastAsia" w:ascii="宋体" w:hAnsi="宋体" w:eastAsia="宋体" w:cs="宋体"/>
          <w:sz w:val="24"/>
        </w:rPr>
      </w:pPr>
      <w:r>
        <w:rPr>
          <w:rFonts w:hint="eastAsia" w:ascii="宋体" w:hAnsi="宋体" w:eastAsia="宋体" w:cs="宋体"/>
          <w:sz w:val="24"/>
        </w:rPr>
        <w:t>年 月 日</w:t>
      </w:r>
    </w:p>
    <w:p>
      <w:pPr>
        <w:spacing w:line="480" w:lineRule="exact"/>
        <w:ind w:firstLine="482" w:firstLineChars="200"/>
        <w:rPr>
          <w:rFonts w:hint="eastAsia" w:ascii="宋体" w:hAnsi="宋体" w:eastAsia="宋体" w:cs="宋体"/>
          <w:sz w:val="24"/>
        </w:rPr>
      </w:pPr>
    </w:p>
    <w:p>
      <w:pPr>
        <w:spacing w:line="600" w:lineRule="exact"/>
        <w:jc w:val="center"/>
        <w:rPr>
          <w:rFonts w:hint="eastAsia" w:ascii="宋体" w:hAnsi="宋体" w:eastAsia="宋体" w:cs="宋体"/>
          <w:b/>
          <w:bCs/>
          <w:sz w:val="28"/>
          <w:szCs w:val="28"/>
        </w:rPr>
      </w:pPr>
    </w:p>
    <w:p>
      <w:pPr>
        <w:spacing w:line="600" w:lineRule="exact"/>
        <w:rPr>
          <w:rFonts w:hint="eastAsia" w:ascii="宋体" w:hAnsi="宋体" w:eastAsia="宋体" w:cs="宋体"/>
          <w:b/>
          <w:bCs/>
          <w:sz w:val="28"/>
          <w:szCs w:val="28"/>
        </w:rPr>
      </w:pPr>
    </w:p>
    <w:p>
      <w:pPr>
        <w:spacing w:line="600" w:lineRule="exact"/>
        <w:jc w:val="center"/>
        <w:rPr>
          <w:rFonts w:hint="eastAsia" w:ascii="宋体" w:hAnsi="宋体" w:eastAsia="宋体" w:cs="宋体"/>
          <w:b/>
          <w:bCs/>
          <w:sz w:val="28"/>
          <w:szCs w:val="28"/>
        </w:rPr>
      </w:pPr>
    </w:p>
    <w:p>
      <w:pPr>
        <w:spacing w:line="600" w:lineRule="exact"/>
        <w:jc w:val="center"/>
        <w:rPr>
          <w:rFonts w:hint="eastAsia" w:ascii="宋体" w:hAnsi="宋体" w:eastAsia="宋体" w:cs="宋体"/>
          <w:b/>
          <w:bCs/>
          <w:sz w:val="28"/>
          <w:szCs w:val="28"/>
        </w:rPr>
      </w:pPr>
      <w:r>
        <w:rPr>
          <w:rFonts w:hint="eastAsia" w:ascii="宋体" w:hAnsi="宋体" w:eastAsia="宋体" w:cs="宋体"/>
          <w:b/>
          <w:bCs/>
          <w:sz w:val="28"/>
          <w:szCs w:val="28"/>
        </w:rPr>
        <w:t>授权委托书</w:t>
      </w:r>
    </w:p>
    <w:p>
      <w:pPr>
        <w:jc w:val="right"/>
        <w:rPr>
          <w:rFonts w:hint="eastAsia" w:ascii="宋体" w:hAnsi="宋体" w:eastAsia="宋体" w:cs="宋体"/>
          <w:szCs w:val="21"/>
        </w:rPr>
      </w:pPr>
    </w:p>
    <w:p>
      <w:pPr>
        <w:spacing w:line="470" w:lineRule="exact"/>
        <w:ind w:firstLine="482" w:firstLineChars="200"/>
        <w:rPr>
          <w:rFonts w:hint="eastAsia" w:ascii="宋体" w:hAnsi="宋体" w:eastAsia="宋体" w:cs="宋体"/>
          <w:sz w:val="24"/>
        </w:rPr>
      </w:pPr>
      <w:r>
        <w:rPr>
          <w:rFonts w:hint="eastAsia" w:ascii="宋体" w:hAnsi="宋体" w:eastAsia="宋体" w:cs="宋体"/>
          <w:sz w:val="24"/>
        </w:rPr>
        <w:t>本人_______（姓名）系__________（供应商名称）的法定代表人，现委托________（姓名）为我方代理人。代理人根据授权，以我方名义签署、澄清、说明、补正、递交、撤回、修改___________（项目名称、</w:t>
      </w:r>
      <w:r>
        <w:rPr>
          <w:rFonts w:hint="eastAsia" w:ascii="宋体" w:hAnsi="宋体" w:eastAsia="宋体" w:cs="宋体"/>
          <w:sz w:val="24"/>
          <w:lang w:val="en-US" w:eastAsia="zh-CN"/>
        </w:rPr>
        <w:t>项目编号</w:t>
      </w:r>
      <w:r>
        <w:rPr>
          <w:rFonts w:hint="eastAsia" w:ascii="宋体" w:hAnsi="宋体" w:eastAsia="宋体" w:cs="宋体"/>
          <w:sz w:val="24"/>
        </w:rPr>
        <w:t>）签订合同和处理有关事宜，其法律后果由我方承担。</w:t>
      </w:r>
    </w:p>
    <w:p>
      <w:pPr>
        <w:spacing w:line="600" w:lineRule="exact"/>
        <w:ind w:firstLine="482" w:firstLineChars="200"/>
        <w:rPr>
          <w:rFonts w:hint="eastAsia" w:ascii="宋体" w:hAnsi="宋体" w:eastAsia="宋体" w:cs="宋体"/>
          <w:sz w:val="24"/>
        </w:rPr>
      </w:pPr>
      <w:r>
        <w:rPr>
          <w:rFonts w:hint="eastAsia" w:ascii="宋体" w:hAnsi="宋体" w:eastAsia="宋体" w:cs="宋体"/>
          <w:sz w:val="24"/>
        </w:rPr>
        <w:t>委托期限：_____________</w:t>
      </w:r>
    </w:p>
    <w:p>
      <w:pPr>
        <w:spacing w:line="600" w:lineRule="exact"/>
        <w:ind w:firstLine="482" w:firstLineChars="200"/>
        <w:rPr>
          <w:rFonts w:hint="eastAsia" w:ascii="宋体" w:hAnsi="宋体" w:eastAsia="宋体" w:cs="宋体"/>
          <w:sz w:val="24"/>
        </w:rPr>
      </w:pPr>
      <w:r>
        <w:rPr>
          <w:rFonts w:hint="eastAsia" w:ascii="宋体" w:hAnsi="宋体" w:eastAsia="宋体" w:cs="宋体"/>
          <w:sz w:val="24"/>
        </w:rPr>
        <w:t xml:space="preserve">代理人无转委托权。 </w:t>
      </w:r>
    </w:p>
    <w:p>
      <w:pPr>
        <w:spacing w:line="600" w:lineRule="exact"/>
        <w:ind w:firstLine="482" w:firstLineChars="200"/>
        <w:rPr>
          <w:rFonts w:hint="eastAsia" w:ascii="宋体" w:hAnsi="宋体" w:eastAsia="宋体" w:cs="宋体"/>
          <w:sz w:val="24"/>
        </w:rPr>
      </w:pPr>
      <w:r>
        <w:rPr>
          <w:rFonts w:hint="eastAsia" w:ascii="宋体" w:hAnsi="宋体" w:eastAsia="宋体" w:cs="宋体"/>
          <w:sz w:val="24"/>
        </w:rPr>
        <w:t>附：法定代表人、委托人身份证复印件</w:t>
      </w:r>
    </w:p>
    <w:p>
      <w:pPr>
        <w:spacing w:line="600" w:lineRule="exact"/>
        <w:rPr>
          <w:rFonts w:hint="eastAsia" w:ascii="宋体" w:hAnsi="宋体" w:eastAsia="宋体" w:cs="宋体"/>
          <w:sz w:val="24"/>
        </w:rPr>
      </w:pPr>
    </w:p>
    <w:p>
      <w:pPr>
        <w:spacing w:line="276" w:lineRule="auto"/>
        <w:rPr>
          <w:rFonts w:hint="eastAsia" w:ascii="宋体" w:hAnsi="宋体" w:eastAsia="宋体" w:cs="宋体"/>
          <w:sz w:val="24"/>
        </w:rPr>
      </w:pPr>
    </w:p>
    <w:p>
      <w:pPr>
        <w:spacing w:line="276" w:lineRule="auto"/>
        <w:rPr>
          <w:rFonts w:hint="eastAsia" w:ascii="宋体" w:hAnsi="宋体" w:eastAsia="宋体" w:cs="宋体"/>
          <w:sz w:val="24"/>
        </w:rPr>
      </w:pPr>
    </w:p>
    <w:p>
      <w:pPr>
        <w:spacing w:line="276" w:lineRule="auto"/>
        <w:rPr>
          <w:rFonts w:hint="eastAsia" w:ascii="宋体" w:hAnsi="宋体" w:eastAsia="宋体" w:cs="宋体"/>
          <w:sz w:val="24"/>
        </w:rPr>
      </w:pPr>
    </w:p>
    <w:p>
      <w:pPr>
        <w:spacing w:line="276" w:lineRule="auto"/>
        <w:rPr>
          <w:rFonts w:hint="eastAsia" w:ascii="宋体" w:hAnsi="宋体" w:eastAsia="宋体" w:cs="宋体"/>
          <w:sz w:val="24"/>
        </w:rPr>
      </w:pPr>
    </w:p>
    <w:p>
      <w:pPr>
        <w:spacing w:line="276" w:lineRule="auto"/>
        <w:rPr>
          <w:rFonts w:hint="eastAsia" w:ascii="宋体" w:hAnsi="宋体" w:eastAsia="宋体" w:cs="宋体"/>
          <w:sz w:val="24"/>
        </w:rPr>
      </w:pPr>
    </w:p>
    <w:p>
      <w:pPr>
        <w:spacing w:line="276" w:lineRule="auto"/>
        <w:rPr>
          <w:rFonts w:hint="eastAsia" w:ascii="宋体" w:hAnsi="宋体" w:eastAsia="宋体" w:cs="宋体"/>
          <w:sz w:val="24"/>
        </w:rPr>
      </w:pPr>
    </w:p>
    <w:p>
      <w:pPr>
        <w:spacing w:line="276" w:lineRule="auto"/>
        <w:rPr>
          <w:rFonts w:hint="eastAsia" w:ascii="宋体" w:hAnsi="宋体" w:eastAsia="宋体" w:cs="宋体"/>
          <w:sz w:val="24"/>
        </w:rPr>
      </w:pPr>
    </w:p>
    <w:p>
      <w:pPr>
        <w:spacing w:line="276" w:lineRule="auto"/>
        <w:rPr>
          <w:rFonts w:hint="eastAsia" w:ascii="宋体" w:hAnsi="宋体" w:eastAsia="宋体" w:cs="宋体"/>
          <w:sz w:val="24"/>
        </w:rPr>
      </w:pPr>
    </w:p>
    <w:p>
      <w:pPr>
        <w:spacing w:line="360" w:lineRule="auto"/>
        <w:rPr>
          <w:rFonts w:hint="eastAsia" w:ascii="宋体" w:hAnsi="宋体" w:eastAsia="宋体" w:cs="宋体"/>
          <w:sz w:val="24"/>
        </w:rPr>
      </w:pPr>
      <w:r>
        <w:rPr>
          <w:rFonts w:hint="eastAsia" w:ascii="宋体" w:hAnsi="宋体" w:eastAsia="宋体" w:cs="宋体"/>
          <w:sz w:val="24"/>
        </w:rPr>
        <w:t>供  应  商：</w:t>
      </w:r>
      <w:r>
        <w:rPr>
          <w:rFonts w:hint="eastAsia" w:ascii="宋体" w:hAnsi="宋体" w:eastAsia="宋体" w:cs="宋体"/>
          <w:sz w:val="24"/>
          <w:lang w:val="en-US" w:eastAsia="zh-CN"/>
        </w:rPr>
        <w:t xml:space="preserve">    </w:t>
      </w:r>
      <w:r>
        <w:rPr>
          <w:rFonts w:hint="eastAsia" w:ascii="宋体" w:hAnsi="宋体" w:eastAsia="宋体" w:cs="宋体"/>
          <w:sz w:val="24"/>
        </w:rPr>
        <w:t>（盖单位章）</w:t>
      </w:r>
    </w:p>
    <w:p>
      <w:pPr>
        <w:spacing w:line="360" w:lineRule="auto"/>
        <w:rPr>
          <w:rFonts w:hint="eastAsia" w:ascii="宋体" w:hAnsi="宋体" w:eastAsia="宋体" w:cs="宋体"/>
          <w:sz w:val="24"/>
        </w:rPr>
      </w:pPr>
      <w:r>
        <w:rPr>
          <w:rFonts w:hint="eastAsia" w:ascii="宋体" w:hAnsi="宋体" w:eastAsia="宋体" w:cs="宋体"/>
          <w:sz w:val="24"/>
        </w:rPr>
        <w:t>法定代表人：</w:t>
      </w:r>
      <w:r>
        <w:rPr>
          <w:rFonts w:hint="eastAsia" w:ascii="宋体" w:hAnsi="宋体" w:eastAsia="宋体" w:cs="宋体"/>
          <w:sz w:val="24"/>
          <w:lang w:val="en-US" w:eastAsia="zh-CN"/>
        </w:rPr>
        <w:t xml:space="preserve">    </w:t>
      </w:r>
      <w:r>
        <w:rPr>
          <w:rFonts w:hint="eastAsia" w:ascii="宋体" w:hAnsi="宋体" w:eastAsia="宋体" w:cs="宋体"/>
          <w:sz w:val="24"/>
        </w:rPr>
        <w:t>（签字</w:t>
      </w:r>
      <w:r>
        <w:rPr>
          <w:rFonts w:hint="eastAsia" w:ascii="宋体" w:hAnsi="宋体" w:eastAsia="宋体" w:cs="宋体"/>
          <w:sz w:val="24"/>
          <w:lang w:val="en-US" w:eastAsia="zh-CN"/>
        </w:rPr>
        <w:t>或盖章</w:t>
      </w:r>
      <w:r>
        <w:rPr>
          <w:rFonts w:hint="eastAsia" w:ascii="宋体" w:hAnsi="宋体" w:eastAsia="宋体" w:cs="宋体"/>
          <w:sz w:val="24"/>
        </w:rPr>
        <w:t>）</w:t>
      </w:r>
    </w:p>
    <w:p>
      <w:pPr>
        <w:spacing w:line="360" w:lineRule="auto"/>
        <w:rPr>
          <w:rFonts w:hint="eastAsia" w:ascii="宋体" w:hAnsi="宋体" w:eastAsia="宋体" w:cs="宋体"/>
          <w:sz w:val="24"/>
        </w:rPr>
      </w:pPr>
      <w:r>
        <w:rPr>
          <w:rFonts w:hint="eastAsia" w:ascii="宋体" w:hAnsi="宋体" w:eastAsia="宋体" w:cs="宋体"/>
          <w:sz w:val="24"/>
        </w:rPr>
        <w:t>身份证号码：</w:t>
      </w:r>
    </w:p>
    <w:p>
      <w:pPr>
        <w:spacing w:line="360" w:lineRule="auto"/>
        <w:rPr>
          <w:rFonts w:hint="eastAsia" w:ascii="宋体" w:hAnsi="宋体" w:eastAsia="宋体" w:cs="宋体"/>
          <w:sz w:val="24"/>
        </w:rPr>
      </w:pPr>
      <w:r>
        <w:rPr>
          <w:rFonts w:hint="eastAsia" w:ascii="宋体" w:hAnsi="宋体" w:eastAsia="宋体" w:cs="宋体"/>
          <w:sz w:val="24"/>
        </w:rPr>
        <w:t>委托代理人：</w:t>
      </w:r>
      <w:r>
        <w:rPr>
          <w:rFonts w:hint="eastAsia" w:ascii="宋体" w:hAnsi="宋体" w:eastAsia="宋体" w:cs="宋体"/>
          <w:sz w:val="24"/>
          <w:lang w:val="en-US" w:eastAsia="zh-CN"/>
        </w:rPr>
        <w:t xml:space="preserve">    </w:t>
      </w:r>
      <w:r>
        <w:rPr>
          <w:rFonts w:hint="eastAsia" w:ascii="宋体" w:hAnsi="宋体" w:eastAsia="宋体" w:cs="宋体"/>
          <w:sz w:val="24"/>
        </w:rPr>
        <w:t>（签字）</w:t>
      </w:r>
    </w:p>
    <w:p>
      <w:pPr>
        <w:spacing w:line="360" w:lineRule="auto"/>
        <w:rPr>
          <w:rFonts w:hint="eastAsia" w:ascii="宋体" w:hAnsi="宋体" w:eastAsia="宋体" w:cs="宋体"/>
          <w:sz w:val="24"/>
        </w:rPr>
      </w:pPr>
      <w:r>
        <w:rPr>
          <w:rFonts w:hint="eastAsia" w:ascii="宋体" w:hAnsi="宋体" w:eastAsia="宋体" w:cs="宋体"/>
          <w:sz w:val="24"/>
        </w:rPr>
        <w:t>身份证号码：</w:t>
      </w:r>
    </w:p>
    <w:p>
      <w:pPr>
        <w:spacing w:line="360" w:lineRule="auto"/>
        <w:rPr>
          <w:rFonts w:hint="eastAsia" w:ascii="宋体" w:hAnsi="宋体" w:eastAsia="宋体" w:cs="宋体"/>
          <w:sz w:val="24"/>
        </w:rPr>
      </w:pP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w:t>
      </w:r>
    </w:p>
    <w:p>
      <w:pPr>
        <w:spacing w:line="480" w:lineRule="exact"/>
        <w:ind w:firstLine="482" w:firstLineChars="200"/>
        <w:rPr>
          <w:rFonts w:hint="eastAsia" w:ascii="宋体" w:hAnsi="宋体" w:eastAsia="宋体" w:cs="宋体"/>
          <w:sz w:val="24"/>
        </w:rPr>
      </w:pPr>
    </w:p>
    <w:p>
      <w:pPr>
        <w:spacing w:line="480" w:lineRule="exact"/>
        <w:ind w:firstLine="482" w:firstLineChars="200"/>
        <w:rPr>
          <w:rFonts w:hint="eastAsia" w:ascii="宋体" w:hAnsi="宋体" w:eastAsia="宋体" w:cs="宋体"/>
          <w:sz w:val="24"/>
        </w:rPr>
      </w:pPr>
    </w:p>
    <w:p>
      <w:pPr>
        <w:spacing w:line="480" w:lineRule="exact"/>
        <w:ind w:firstLine="482" w:firstLineChars="200"/>
        <w:rPr>
          <w:rFonts w:hint="eastAsia" w:ascii="宋体" w:hAnsi="宋体" w:eastAsia="宋体" w:cs="宋体"/>
          <w:sz w:val="24"/>
        </w:rPr>
      </w:pPr>
    </w:p>
    <w:p>
      <w:pPr>
        <w:rPr>
          <w:rFonts w:hint="eastAsia" w:ascii="宋体" w:hAnsi="宋体" w:eastAsia="宋体" w:cs="宋体"/>
        </w:rPr>
      </w:pPr>
      <w:bookmarkStart w:id="222" w:name="_Toc469342443"/>
      <w:bookmarkStart w:id="223" w:name="_Toc493842417"/>
      <w:bookmarkStart w:id="224" w:name="_Toc29747_WPSOffice_Level1"/>
      <w:bookmarkStart w:id="225" w:name="_Toc31646_WPSOffice_Level1"/>
      <w:bookmarkStart w:id="226" w:name="_Toc9949_WPSOffice_Level1"/>
      <w:bookmarkStart w:id="227" w:name="_Toc11233_WPSOffice_Level1"/>
      <w:bookmarkStart w:id="228" w:name="_Toc11466"/>
      <w:bookmarkStart w:id="229" w:name="_Toc27732_WPSOffice_Level1"/>
      <w:bookmarkStart w:id="230" w:name="_Toc7578_WPSOffice_Level1"/>
      <w:bookmarkStart w:id="231" w:name="_Toc27290_WPSOffice_Level1"/>
      <w:r>
        <w:rPr>
          <w:rFonts w:hint="eastAsia" w:ascii="宋体" w:hAnsi="宋体" w:eastAsia="宋体" w:cs="宋体"/>
        </w:rPr>
        <w:br w:type="page"/>
      </w:r>
    </w:p>
    <w:p>
      <w:pPr>
        <w:pStyle w:val="4"/>
        <w:numPr>
          <w:ilvl w:val="0"/>
          <w:numId w:val="0"/>
        </w:numPr>
        <w:spacing w:line="600" w:lineRule="exact"/>
        <w:jc w:val="center"/>
        <w:rPr>
          <w:rFonts w:hint="eastAsia" w:ascii="宋体" w:hAnsi="宋体" w:eastAsia="宋体" w:cs="宋体"/>
          <w:sz w:val="30"/>
          <w:szCs w:val="30"/>
          <w:lang w:val="en-US" w:eastAsia="zh-CN"/>
        </w:rPr>
      </w:pPr>
      <w:r>
        <w:rPr>
          <w:rFonts w:hint="eastAsia" w:cs="宋体"/>
          <w:sz w:val="30"/>
          <w:szCs w:val="30"/>
          <w:lang w:val="en-US" w:eastAsia="zh-CN"/>
        </w:rPr>
        <w:t>四、</w:t>
      </w:r>
      <w:r>
        <w:rPr>
          <w:rFonts w:hint="eastAsia" w:ascii="宋体" w:hAnsi="宋体" w:eastAsia="宋体" w:cs="宋体"/>
          <w:sz w:val="30"/>
          <w:szCs w:val="30"/>
          <w:lang w:val="en-US" w:eastAsia="zh-CN"/>
        </w:rPr>
        <w:t>报价明细表</w:t>
      </w:r>
    </w:p>
    <w:p>
      <w:pPr>
        <w:numPr>
          <w:ilvl w:val="0"/>
          <w:numId w:val="0"/>
        </w:numPr>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（格式自拟）</w:t>
      </w:r>
    </w:p>
    <w:p>
      <w:pP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br w:type="page"/>
      </w:r>
    </w:p>
    <w:p>
      <w:pPr>
        <w:pStyle w:val="12"/>
        <w:jc w:val="center"/>
        <w:rPr>
          <w:rFonts w:hint="eastAsia" w:ascii="宋体" w:hAnsi="宋体" w:eastAsia="宋体" w:cs="宋体"/>
          <w:sz w:val="30"/>
          <w:szCs w:val="30"/>
        </w:rPr>
      </w:pPr>
      <w:r>
        <w:rPr>
          <w:rFonts w:hint="eastAsia" w:ascii="宋体" w:hAnsi="宋体" w:eastAsia="宋体" w:cs="宋体"/>
          <w:b/>
          <w:kern w:val="2"/>
          <w:sz w:val="30"/>
          <w:szCs w:val="30"/>
          <w:lang w:val="en-US" w:eastAsia="zh-CN" w:bidi="ar-SA"/>
        </w:rPr>
        <w:t>五、</w:t>
      </w:r>
      <w:bookmarkStart w:id="232" w:name="_Toc13659"/>
      <w:bookmarkStart w:id="233" w:name="_Toc11812"/>
      <w:bookmarkStart w:id="234" w:name="_Toc26049"/>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"_Toc367286158"</w:instrText>
      </w:r>
      <w:r>
        <w:rPr>
          <w:rFonts w:hint="eastAsia" w:ascii="宋体" w:hAnsi="宋体" w:eastAsia="宋体" w:cs="宋体"/>
          <w:sz w:val="30"/>
          <w:szCs w:val="30"/>
        </w:rPr>
        <w:fldChar w:fldCharType="separate"/>
      </w:r>
      <w:r>
        <w:rPr>
          <w:rFonts w:hint="eastAsia" w:ascii="宋体" w:hAnsi="宋体" w:eastAsia="宋体" w:cs="宋体"/>
          <w:sz w:val="30"/>
          <w:szCs w:val="30"/>
        </w:rPr>
        <w:t>资格审查</w:t>
      </w:r>
      <w:r>
        <w:rPr>
          <w:rFonts w:hint="eastAsia" w:ascii="宋体" w:hAnsi="宋体" w:eastAsia="宋体" w:cs="宋体"/>
          <w:sz w:val="30"/>
          <w:szCs w:val="30"/>
        </w:rPr>
        <w:fldChar w:fldCharType="end"/>
      </w:r>
      <w:r>
        <w:rPr>
          <w:rFonts w:hint="eastAsia" w:ascii="宋体" w:hAnsi="宋体" w:eastAsia="宋体" w:cs="宋体"/>
          <w:sz w:val="30"/>
          <w:szCs w:val="30"/>
        </w:rPr>
        <w:t>资料</w:t>
      </w:r>
      <w:bookmarkEnd w:id="232"/>
      <w:bookmarkEnd w:id="233"/>
      <w:bookmarkEnd w:id="234"/>
    </w:p>
    <w:p>
      <w:pPr>
        <w:tabs>
          <w:tab w:val="left" w:pos="1507"/>
        </w:tabs>
        <w:spacing w:line="360" w:lineRule="auto"/>
        <w:rPr>
          <w:rFonts w:hint="eastAsia" w:ascii="宋体" w:hAnsi="宋体" w:eastAsia="宋体" w:cs="宋体"/>
        </w:rPr>
      </w:pPr>
      <w:r>
        <w:rPr>
          <w:rFonts w:hint="eastAsia" w:ascii="宋体" w:hAnsi="宋体" w:eastAsia="宋体" w:cs="宋体"/>
          <w:b/>
          <w:sz w:val="22"/>
          <w:szCs w:val="22"/>
        </w:rPr>
        <w:t>（1）供应商基本情况表</w:t>
      </w:r>
    </w:p>
    <w:tbl>
      <w:tblPr>
        <w:tblStyle w:val="22"/>
        <w:tblW w:w="91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1"/>
        <w:gridCol w:w="1070"/>
        <w:gridCol w:w="1583"/>
        <w:gridCol w:w="1320"/>
        <w:gridCol w:w="1388"/>
        <w:gridCol w:w="896"/>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561" w:type="dxa"/>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r>
              <w:rPr>
                <w:rFonts w:hint="eastAsia" w:ascii="宋体" w:hAnsi="宋体" w:eastAsia="宋体" w:cs="宋体"/>
                <w:sz w:val="24"/>
              </w:rPr>
              <w:t>供应商名称</w:t>
            </w:r>
          </w:p>
        </w:tc>
        <w:tc>
          <w:tcPr>
            <w:tcW w:w="7638" w:type="dxa"/>
            <w:gridSpan w:val="6"/>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561" w:type="dxa"/>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r>
              <w:rPr>
                <w:rFonts w:hint="eastAsia" w:ascii="宋体" w:hAnsi="宋体" w:eastAsia="宋体" w:cs="宋体"/>
                <w:sz w:val="24"/>
              </w:rPr>
              <w:t>注册地址</w:t>
            </w:r>
          </w:p>
        </w:tc>
        <w:tc>
          <w:tcPr>
            <w:tcW w:w="3973" w:type="dxa"/>
            <w:gridSpan w:val="3"/>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p>
        </w:tc>
        <w:tc>
          <w:tcPr>
            <w:tcW w:w="1388" w:type="dxa"/>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r>
              <w:rPr>
                <w:rFonts w:hint="eastAsia" w:ascii="宋体" w:hAnsi="宋体" w:eastAsia="宋体" w:cs="宋体"/>
                <w:sz w:val="24"/>
              </w:rPr>
              <w:t>邮政编码</w:t>
            </w:r>
          </w:p>
        </w:tc>
        <w:tc>
          <w:tcPr>
            <w:tcW w:w="2277" w:type="dxa"/>
            <w:gridSpan w:val="2"/>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561" w:type="dxa"/>
            <w:vMerge w:val="restart"/>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r>
              <w:rPr>
                <w:rFonts w:hint="eastAsia" w:ascii="宋体" w:hAnsi="宋体" w:eastAsia="宋体" w:cs="宋体"/>
                <w:sz w:val="24"/>
              </w:rPr>
              <w:t>联系方式</w:t>
            </w:r>
          </w:p>
        </w:tc>
        <w:tc>
          <w:tcPr>
            <w:tcW w:w="1070" w:type="dxa"/>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r>
              <w:rPr>
                <w:rFonts w:hint="eastAsia" w:ascii="宋体" w:hAnsi="宋体" w:eastAsia="宋体" w:cs="宋体"/>
                <w:sz w:val="24"/>
              </w:rPr>
              <w:t>联系人</w:t>
            </w:r>
          </w:p>
        </w:tc>
        <w:tc>
          <w:tcPr>
            <w:tcW w:w="2903" w:type="dxa"/>
            <w:gridSpan w:val="2"/>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p>
        </w:tc>
        <w:tc>
          <w:tcPr>
            <w:tcW w:w="1388" w:type="dxa"/>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r>
              <w:rPr>
                <w:rFonts w:hint="eastAsia" w:ascii="宋体" w:hAnsi="宋体" w:eastAsia="宋体" w:cs="宋体"/>
                <w:sz w:val="24"/>
              </w:rPr>
              <w:t>电话</w:t>
            </w:r>
          </w:p>
        </w:tc>
        <w:tc>
          <w:tcPr>
            <w:tcW w:w="2277" w:type="dxa"/>
            <w:gridSpan w:val="2"/>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561"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p>
        </w:tc>
        <w:tc>
          <w:tcPr>
            <w:tcW w:w="1070" w:type="dxa"/>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r>
              <w:rPr>
                <w:rFonts w:hint="eastAsia" w:ascii="宋体" w:hAnsi="宋体" w:eastAsia="宋体" w:cs="宋体"/>
                <w:sz w:val="24"/>
              </w:rPr>
              <w:t>传真</w:t>
            </w:r>
          </w:p>
        </w:tc>
        <w:tc>
          <w:tcPr>
            <w:tcW w:w="2903" w:type="dxa"/>
            <w:gridSpan w:val="2"/>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p>
        </w:tc>
        <w:tc>
          <w:tcPr>
            <w:tcW w:w="1388" w:type="dxa"/>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r>
              <w:rPr>
                <w:rFonts w:hint="eastAsia" w:ascii="宋体" w:hAnsi="宋体" w:eastAsia="宋体" w:cs="宋体"/>
                <w:sz w:val="24"/>
              </w:rPr>
              <w:t>网址</w:t>
            </w:r>
          </w:p>
        </w:tc>
        <w:tc>
          <w:tcPr>
            <w:tcW w:w="2277" w:type="dxa"/>
            <w:gridSpan w:val="2"/>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561" w:type="dxa"/>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r>
              <w:rPr>
                <w:rFonts w:hint="eastAsia" w:ascii="宋体" w:hAnsi="宋体" w:eastAsia="宋体" w:cs="宋体"/>
                <w:sz w:val="24"/>
              </w:rPr>
              <w:t>组织结构</w:t>
            </w:r>
          </w:p>
        </w:tc>
        <w:tc>
          <w:tcPr>
            <w:tcW w:w="7638" w:type="dxa"/>
            <w:gridSpan w:val="6"/>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561" w:type="dxa"/>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r>
              <w:rPr>
                <w:rFonts w:hint="eastAsia" w:ascii="宋体" w:hAnsi="宋体" w:eastAsia="宋体" w:cs="宋体"/>
                <w:sz w:val="24"/>
              </w:rPr>
              <w:t>法定代表人</w:t>
            </w:r>
          </w:p>
        </w:tc>
        <w:tc>
          <w:tcPr>
            <w:tcW w:w="1070" w:type="dxa"/>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r>
              <w:rPr>
                <w:rFonts w:hint="eastAsia" w:ascii="宋体" w:hAnsi="宋体" w:eastAsia="宋体" w:cs="宋体"/>
                <w:sz w:val="24"/>
              </w:rPr>
              <w:t>姓名</w:t>
            </w:r>
          </w:p>
        </w:tc>
        <w:tc>
          <w:tcPr>
            <w:tcW w:w="1583" w:type="dxa"/>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p>
        </w:tc>
        <w:tc>
          <w:tcPr>
            <w:tcW w:w="1320" w:type="dxa"/>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r>
              <w:rPr>
                <w:rFonts w:hint="eastAsia" w:ascii="宋体" w:hAnsi="宋体" w:eastAsia="宋体" w:cs="宋体"/>
                <w:sz w:val="24"/>
              </w:rPr>
              <w:t>技术职称</w:t>
            </w:r>
          </w:p>
        </w:tc>
        <w:tc>
          <w:tcPr>
            <w:tcW w:w="1388" w:type="dxa"/>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p>
        </w:tc>
        <w:tc>
          <w:tcPr>
            <w:tcW w:w="896" w:type="dxa"/>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4"/>
              </w:rPr>
            </w:pPr>
            <w:r>
              <w:rPr>
                <w:rFonts w:hint="eastAsia" w:ascii="宋体" w:hAnsi="宋体" w:eastAsia="宋体" w:cs="宋体"/>
                <w:sz w:val="24"/>
              </w:rPr>
              <w:t>电话</w:t>
            </w:r>
          </w:p>
        </w:tc>
        <w:tc>
          <w:tcPr>
            <w:tcW w:w="1381" w:type="dxa"/>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561" w:type="dxa"/>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r>
              <w:rPr>
                <w:rFonts w:hint="eastAsia" w:ascii="宋体" w:hAnsi="宋体" w:eastAsia="宋体" w:cs="宋体"/>
                <w:sz w:val="24"/>
              </w:rPr>
              <w:t>技术负责人</w:t>
            </w:r>
          </w:p>
        </w:tc>
        <w:tc>
          <w:tcPr>
            <w:tcW w:w="1070" w:type="dxa"/>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r>
              <w:rPr>
                <w:rFonts w:hint="eastAsia" w:ascii="宋体" w:hAnsi="宋体" w:eastAsia="宋体" w:cs="宋体"/>
                <w:sz w:val="24"/>
              </w:rPr>
              <w:t>姓名</w:t>
            </w:r>
          </w:p>
        </w:tc>
        <w:tc>
          <w:tcPr>
            <w:tcW w:w="1583" w:type="dxa"/>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p>
        </w:tc>
        <w:tc>
          <w:tcPr>
            <w:tcW w:w="1320" w:type="dxa"/>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r>
              <w:rPr>
                <w:rFonts w:hint="eastAsia" w:ascii="宋体" w:hAnsi="宋体" w:eastAsia="宋体" w:cs="宋体"/>
                <w:sz w:val="24"/>
              </w:rPr>
              <w:t>技术职称</w:t>
            </w:r>
          </w:p>
        </w:tc>
        <w:tc>
          <w:tcPr>
            <w:tcW w:w="1388" w:type="dxa"/>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p>
        </w:tc>
        <w:tc>
          <w:tcPr>
            <w:tcW w:w="896" w:type="dxa"/>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r>
              <w:rPr>
                <w:rFonts w:hint="eastAsia" w:ascii="宋体" w:hAnsi="宋体" w:eastAsia="宋体" w:cs="宋体"/>
                <w:sz w:val="24"/>
              </w:rPr>
              <w:t>电话</w:t>
            </w:r>
          </w:p>
        </w:tc>
        <w:tc>
          <w:tcPr>
            <w:tcW w:w="1381" w:type="dxa"/>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561" w:type="dxa"/>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r>
              <w:rPr>
                <w:rFonts w:hint="eastAsia" w:ascii="宋体" w:hAnsi="宋体" w:eastAsia="宋体" w:cs="宋体"/>
                <w:sz w:val="24"/>
              </w:rPr>
              <w:t>成立时间</w:t>
            </w:r>
          </w:p>
        </w:tc>
        <w:tc>
          <w:tcPr>
            <w:tcW w:w="2653" w:type="dxa"/>
            <w:gridSpan w:val="2"/>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p>
        </w:tc>
        <w:tc>
          <w:tcPr>
            <w:tcW w:w="4985" w:type="dxa"/>
            <w:gridSpan w:val="4"/>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r>
              <w:rPr>
                <w:rFonts w:hint="eastAsia" w:ascii="宋体" w:hAnsi="宋体" w:eastAsia="宋体" w:cs="宋体"/>
                <w:sz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1" w:hRule="atLeast"/>
        </w:trPr>
        <w:tc>
          <w:tcPr>
            <w:tcW w:w="1561" w:type="dxa"/>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r>
              <w:rPr>
                <w:rFonts w:hint="eastAsia" w:ascii="宋体" w:hAnsi="宋体" w:eastAsia="宋体" w:cs="宋体"/>
                <w:sz w:val="24"/>
              </w:rPr>
              <w:t>经营范围</w:t>
            </w:r>
          </w:p>
        </w:tc>
        <w:tc>
          <w:tcPr>
            <w:tcW w:w="7638" w:type="dxa"/>
            <w:gridSpan w:val="6"/>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61" w:type="dxa"/>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r>
              <w:rPr>
                <w:rFonts w:hint="eastAsia" w:ascii="宋体" w:hAnsi="宋体" w:eastAsia="宋体" w:cs="宋体"/>
                <w:sz w:val="24"/>
              </w:rPr>
              <w:t>备注</w:t>
            </w:r>
          </w:p>
        </w:tc>
        <w:tc>
          <w:tcPr>
            <w:tcW w:w="7638" w:type="dxa"/>
            <w:gridSpan w:val="6"/>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rPr>
            </w:pPr>
          </w:p>
        </w:tc>
      </w:tr>
    </w:tbl>
    <w:p>
      <w:pPr>
        <w:spacing w:line="360" w:lineRule="auto"/>
        <w:rPr>
          <w:rFonts w:hint="eastAsia" w:ascii="宋体" w:hAnsi="宋体" w:eastAsia="宋体" w:cs="宋体"/>
        </w:rPr>
      </w:pPr>
      <w:r>
        <w:rPr>
          <w:rFonts w:hint="eastAsia" w:ascii="宋体" w:hAnsi="宋体" w:eastAsia="宋体" w:cs="宋体"/>
        </w:rPr>
        <w:t>注：此表后附资格审查等相关资料。</w:t>
      </w:r>
    </w:p>
    <w:p>
      <w:pPr>
        <w:spacing w:line="360" w:lineRule="auto"/>
        <w:rPr>
          <w:rFonts w:hint="eastAsia" w:ascii="宋体" w:hAnsi="宋体" w:eastAsia="宋体" w:cs="宋体"/>
        </w:rPr>
      </w:pPr>
    </w:p>
    <w:p>
      <w:pPr>
        <w:pStyle w:val="4"/>
        <w:spacing w:line="600" w:lineRule="exact"/>
        <w:jc w:val="center"/>
        <w:rPr>
          <w:rFonts w:hint="eastAsia" w:ascii="宋体" w:hAnsi="宋体" w:eastAsia="宋体" w:cs="宋体"/>
          <w:sz w:val="30"/>
          <w:szCs w:val="30"/>
          <w:highlight w:val="yellow"/>
        </w:rPr>
      </w:pPr>
      <w:r>
        <w:rPr>
          <w:rFonts w:hint="eastAsia" w:ascii="宋体" w:hAnsi="宋体" w:eastAsia="宋体" w:cs="宋体"/>
          <w:sz w:val="30"/>
          <w:szCs w:val="30"/>
        </w:rPr>
        <w:br w:type="page"/>
      </w:r>
      <w:bookmarkStart w:id="235" w:name="_Toc13715"/>
    </w:p>
    <w:bookmarkEnd w:id="235"/>
    <w:p>
      <w:pPr>
        <w:tabs>
          <w:tab w:val="left" w:pos="1507"/>
        </w:tabs>
        <w:spacing w:line="360" w:lineRule="auto"/>
        <w:rPr>
          <w:rFonts w:hint="eastAsia" w:ascii="宋体" w:hAnsi="宋体" w:eastAsia="宋体" w:cs="宋体"/>
          <w:sz w:val="24"/>
          <w:lang w:val="zh-CN"/>
        </w:rPr>
      </w:pPr>
      <w:r>
        <w:rPr>
          <w:rFonts w:hint="eastAsia" w:ascii="宋体" w:hAnsi="宋体" w:eastAsia="宋体" w:cs="宋体"/>
          <w:b/>
          <w:sz w:val="22"/>
          <w:szCs w:val="22"/>
          <w:lang w:val="zh-CN"/>
        </w:rPr>
        <w:t>（</w:t>
      </w:r>
      <w:r>
        <w:rPr>
          <w:rFonts w:hint="eastAsia" w:ascii="宋体" w:hAnsi="宋体" w:eastAsia="宋体" w:cs="宋体"/>
          <w:b/>
          <w:sz w:val="22"/>
          <w:szCs w:val="22"/>
        </w:rPr>
        <w:t>2</w:t>
      </w:r>
      <w:r>
        <w:rPr>
          <w:rFonts w:hint="eastAsia" w:ascii="宋体" w:hAnsi="宋体" w:eastAsia="宋体" w:cs="宋体"/>
          <w:b/>
          <w:sz w:val="22"/>
          <w:szCs w:val="22"/>
          <w:lang w:val="zh-CN"/>
        </w:rPr>
        <w:t>）项目主要实施人员技术资格一览表</w:t>
      </w:r>
    </w:p>
    <w:p>
      <w:pPr>
        <w:spacing w:line="360" w:lineRule="auto"/>
        <w:ind w:firstLine="241" w:firstLineChars="100"/>
        <w:rPr>
          <w:rFonts w:hint="eastAsia" w:ascii="宋体" w:hAnsi="宋体" w:eastAsia="宋体" w:cs="宋体"/>
          <w:sz w:val="24"/>
          <w:lang w:val="zh-CN"/>
        </w:rPr>
      </w:pPr>
      <w:r>
        <w:rPr>
          <w:rFonts w:hint="eastAsia" w:ascii="宋体" w:hAnsi="宋体" w:eastAsia="宋体" w:cs="宋体"/>
          <w:sz w:val="24"/>
          <w:lang w:val="zh-CN"/>
        </w:rPr>
        <w:t xml:space="preserve">项目名称：                               </w:t>
      </w:r>
    </w:p>
    <w:tbl>
      <w:tblPr>
        <w:tblStyle w:val="22"/>
        <w:tblW w:w="0" w:type="auto"/>
        <w:jc w:val="center"/>
        <w:tblLayout w:type="fixed"/>
        <w:tblCellMar>
          <w:top w:w="0" w:type="dxa"/>
          <w:left w:w="108" w:type="dxa"/>
          <w:bottom w:w="0" w:type="dxa"/>
          <w:right w:w="108" w:type="dxa"/>
        </w:tblCellMar>
      </w:tblPr>
      <w:tblGrid>
        <w:gridCol w:w="1037"/>
        <w:gridCol w:w="1407"/>
        <w:gridCol w:w="2004"/>
        <w:gridCol w:w="1559"/>
        <w:gridCol w:w="1984"/>
        <w:gridCol w:w="1293"/>
      </w:tblGrid>
      <w:tr>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序号</w:t>
            </w:r>
          </w:p>
        </w:tc>
        <w:tc>
          <w:tcPr>
            <w:tcW w:w="1407"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lang w:val="zh-CN"/>
              </w:rPr>
            </w:pPr>
            <w:r>
              <w:rPr>
                <w:rFonts w:hint="eastAsia" w:ascii="宋体" w:hAnsi="宋体" w:eastAsia="宋体" w:cs="宋体"/>
                <w:sz w:val="24"/>
                <w:lang w:val="zh-CN"/>
              </w:rPr>
              <w:t>姓  名</w:t>
            </w:r>
          </w:p>
        </w:tc>
        <w:tc>
          <w:tcPr>
            <w:tcW w:w="2004"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lang w:val="zh-CN"/>
              </w:rPr>
            </w:pPr>
            <w:r>
              <w:rPr>
                <w:rFonts w:hint="eastAsia" w:ascii="宋体" w:hAnsi="宋体" w:eastAsia="宋体" w:cs="宋体"/>
                <w:sz w:val="24"/>
                <w:lang w:val="zh-CN"/>
              </w:rPr>
              <w:t>职务</w:t>
            </w:r>
          </w:p>
        </w:tc>
        <w:tc>
          <w:tcPr>
            <w:tcW w:w="1559"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lang w:val="zh-CN"/>
              </w:rPr>
            </w:pPr>
            <w:r>
              <w:rPr>
                <w:rFonts w:hint="eastAsia" w:ascii="宋体" w:hAnsi="宋体" w:eastAsia="宋体" w:cs="宋体"/>
                <w:sz w:val="24"/>
                <w:lang w:val="zh-CN"/>
              </w:rPr>
              <w:t>专业技术资格</w:t>
            </w:r>
          </w:p>
        </w:tc>
        <w:tc>
          <w:tcPr>
            <w:tcW w:w="1984"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lang w:val="zh-CN" w:eastAsia="zh-CN"/>
              </w:rPr>
            </w:pPr>
            <w:r>
              <w:rPr>
                <w:rFonts w:hint="eastAsia" w:ascii="宋体" w:hAnsi="宋体" w:eastAsia="宋体" w:cs="宋体"/>
                <w:sz w:val="24"/>
                <w:lang w:val="zh-CN"/>
              </w:rPr>
              <w:t>证书编号</w:t>
            </w:r>
          </w:p>
        </w:tc>
        <w:tc>
          <w:tcPr>
            <w:tcW w:w="1293"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lang w:val="zh-CN"/>
              </w:rPr>
            </w:pPr>
            <w:r>
              <w:rPr>
                <w:rFonts w:hint="eastAsia" w:ascii="宋体" w:hAnsi="宋体" w:eastAsia="宋体" w:cs="宋体"/>
                <w:sz w:val="24"/>
                <w:lang w:val="en-US" w:eastAsia="zh-CN"/>
              </w:rPr>
              <w:t>备注</w:t>
            </w:r>
          </w:p>
        </w:tc>
      </w:tr>
      <w:tr>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1407"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2004"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1559"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1984"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1293"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r>
      <w:tr>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1407"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2004"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1559"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1984"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1293"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r>
      <w:tr>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1407"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2004"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1559"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1984"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1293"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r>
      <w:tr>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1407"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2004"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1559"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1984"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1293"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r>
      <w:tr>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1407"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2004"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1559"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1984"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1293"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r>
      <w:tr>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1407"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2004"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1559"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1984"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1293"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r>
      <w:tr>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1407"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2004"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1559"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1984"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1293"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r>
      <w:tr>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1407"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2004"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1559"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1984"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1293"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r>
      <w:tr>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1407"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2004"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1559"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1984"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c>
          <w:tcPr>
            <w:tcW w:w="1293"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lang w:val="zh-CN"/>
              </w:rPr>
            </w:pPr>
          </w:p>
        </w:tc>
      </w:tr>
    </w:tbl>
    <w:p>
      <w:pPr>
        <w:spacing w:line="360" w:lineRule="auto"/>
        <w:rPr>
          <w:rFonts w:hint="eastAsia" w:ascii="宋体" w:hAnsi="宋体" w:eastAsia="宋体" w:cs="宋体"/>
          <w:sz w:val="24"/>
          <w:lang w:val="zh-CN"/>
        </w:rPr>
      </w:pPr>
      <w:r>
        <w:rPr>
          <w:rFonts w:hint="eastAsia" w:ascii="宋体" w:hAnsi="宋体" w:eastAsia="宋体" w:cs="宋体"/>
          <w:sz w:val="24"/>
          <w:lang w:val="zh-CN"/>
        </w:rPr>
        <w:t>注：（1）请供应商根据实际情况填写上表。</w:t>
      </w:r>
    </w:p>
    <w:p>
      <w:pPr>
        <w:spacing w:line="360" w:lineRule="auto"/>
        <w:rPr>
          <w:rFonts w:hint="eastAsia" w:ascii="宋体" w:hAnsi="宋体" w:eastAsia="宋体" w:cs="宋体"/>
          <w:sz w:val="24"/>
          <w:lang w:val="zh-CN"/>
        </w:rPr>
      </w:pPr>
      <w:r>
        <w:rPr>
          <w:rFonts w:hint="eastAsia" w:ascii="宋体" w:hAnsi="宋体" w:eastAsia="宋体" w:cs="宋体"/>
          <w:sz w:val="24"/>
          <w:lang w:val="zh-CN"/>
        </w:rPr>
        <w:t xml:space="preserve">（2）供应商如需说明其他相关情况，可对本表进行扩展 </w:t>
      </w:r>
    </w:p>
    <w:p>
      <w:pPr>
        <w:spacing w:line="360" w:lineRule="auto"/>
        <w:rPr>
          <w:rFonts w:hint="eastAsia" w:ascii="宋体" w:hAnsi="宋体" w:eastAsia="宋体" w:cs="宋体"/>
          <w:sz w:val="24"/>
          <w:lang w:val="zh-CN"/>
        </w:rPr>
      </w:pPr>
    </w:p>
    <w:p>
      <w:pPr>
        <w:spacing w:line="360" w:lineRule="auto"/>
        <w:rPr>
          <w:rFonts w:hint="eastAsia" w:ascii="宋体" w:hAnsi="宋体" w:eastAsia="宋体" w:cs="宋体"/>
          <w:sz w:val="24"/>
        </w:rPr>
      </w:pPr>
      <w:r>
        <w:rPr>
          <w:rFonts w:hint="eastAsia" w:ascii="宋体" w:hAnsi="宋体" w:eastAsia="宋体" w:cs="宋体"/>
          <w:sz w:val="24"/>
        </w:rPr>
        <w:t>供应商</w:t>
      </w:r>
      <w:r>
        <w:rPr>
          <w:rFonts w:hint="eastAsia" w:ascii="宋体" w:hAnsi="宋体" w:eastAsia="宋体" w:cs="宋体"/>
          <w:sz w:val="24"/>
          <w:lang w:val="zh-CN"/>
        </w:rPr>
        <w:t>名称（</w:t>
      </w:r>
      <w:r>
        <w:rPr>
          <w:rFonts w:hint="eastAsia" w:ascii="宋体" w:hAnsi="宋体" w:eastAsia="宋体" w:cs="宋体"/>
          <w:sz w:val="24"/>
        </w:rPr>
        <w:t>盖单位章</w:t>
      </w:r>
      <w:r>
        <w:rPr>
          <w:rFonts w:hint="eastAsia" w:ascii="宋体" w:hAnsi="宋体" w:eastAsia="宋体" w:cs="宋体"/>
          <w:sz w:val="24"/>
          <w:lang w:val="zh-CN"/>
        </w:rPr>
        <w:t>）：</w:t>
      </w:r>
    </w:p>
    <w:p>
      <w:pPr>
        <w:spacing w:line="360" w:lineRule="auto"/>
        <w:rPr>
          <w:rFonts w:hint="eastAsia" w:ascii="宋体" w:hAnsi="宋体" w:eastAsia="宋体" w:cs="宋体"/>
          <w:sz w:val="24"/>
          <w:lang w:val="zh-CN"/>
        </w:rPr>
      </w:pPr>
      <w:r>
        <w:rPr>
          <w:rFonts w:hint="eastAsia" w:ascii="宋体" w:hAnsi="宋体" w:eastAsia="宋体" w:cs="宋体"/>
          <w:sz w:val="24"/>
          <w:lang w:val="zh-CN"/>
        </w:rPr>
        <w:t xml:space="preserve">法定代表人或其授权代表（签字或盖章）： </w:t>
      </w:r>
    </w:p>
    <w:p>
      <w:pPr>
        <w:spacing w:line="360" w:lineRule="auto"/>
        <w:rPr>
          <w:rFonts w:hint="eastAsia" w:ascii="宋体" w:hAnsi="宋体" w:eastAsia="宋体" w:cs="宋体"/>
          <w:sz w:val="24"/>
        </w:rPr>
      </w:pPr>
      <w:r>
        <w:rPr>
          <w:rFonts w:hint="eastAsia" w:ascii="宋体" w:hAnsi="宋体" w:eastAsia="宋体" w:cs="宋体"/>
          <w:sz w:val="24"/>
          <w:lang w:val="zh-CN"/>
        </w:rPr>
        <w:t>日期：年月日</w:t>
      </w:r>
    </w:p>
    <w:p>
      <w:pPr>
        <w:pStyle w:val="12"/>
        <w:rPr>
          <w:rFonts w:hint="eastAsia" w:ascii="宋体" w:hAnsi="宋体" w:eastAsia="宋体" w:cs="宋体"/>
          <w:sz w:val="36"/>
          <w:szCs w:val="36"/>
        </w:rPr>
      </w:pPr>
    </w:p>
    <w:p>
      <w:pPr>
        <w:ind w:left="0" w:leftChars="0" w:firstLine="0" w:firstLineChars="0"/>
        <w:rPr>
          <w:rFonts w:hint="eastAsia" w:ascii="宋体" w:hAnsi="宋体" w:eastAsia="宋体" w:cs="宋体"/>
          <w:b/>
          <w:sz w:val="22"/>
          <w:szCs w:val="22"/>
          <w:lang w:val="zh-CN"/>
        </w:rPr>
      </w:pPr>
      <w:bookmarkStart w:id="236" w:name="_Toc19870"/>
      <w:bookmarkStart w:id="237" w:name="_Toc31115"/>
      <w:bookmarkStart w:id="238" w:name="_Toc12278"/>
      <w:r>
        <w:rPr>
          <w:rFonts w:hint="eastAsia" w:ascii="宋体" w:hAnsi="宋体" w:eastAsia="宋体" w:cs="宋体"/>
          <w:b/>
          <w:sz w:val="22"/>
          <w:szCs w:val="22"/>
          <w:lang w:val="zh-CN"/>
        </w:rPr>
        <w:br w:type="page"/>
      </w:r>
    </w:p>
    <w:p>
      <w:pPr>
        <w:spacing w:line="360" w:lineRule="auto"/>
        <w:ind w:firstLine="221" w:firstLineChars="100"/>
        <w:rPr>
          <w:rFonts w:hint="default" w:ascii="宋体" w:hAnsi="宋体" w:eastAsia="宋体" w:cs="宋体"/>
          <w:b/>
          <w:sz w:val="24"/>
          <w:szCs w:val="24"/>
          <w:lang w:val="en-US" w:eastAsia="zh-CN"/>
        </w:rPr>
      </w:pPr>
      <w:r>
        <w:rPr>
          <w:rFonts w:hint="eastAsia" w:ascii="宋体" w:hAnsi="宋体" w:eastAsia="宋体" w:cs="宋体"/>
          <w:b/>
          <w:sz w:val="22"/>
          <w:szCs w:val="22"/>
          <w:lang w:val="zh-CN"/>
        </w:rPr>
        <w:t>（</w:t>
      </w:r>
      <w:r>
        <w:rPr>
          <w:rFonts w:hint="eastAsia" w:cs="宋体"/>
          <w:b/>
          <w:sz w:val="22"/>
          <w:szCs w:val="22"/>
          <w:lang w:val="en-US" w:eastAsia="zh-CN"/>
        </w:rPr>
        <w:t>3</w:t>
      </w:r>
      <w:r>
        <w:rPr>
          <w:rFonts w:hint="eastAsia" w:ascii="宋体" w:hAnsi="宋体" w:eastAsia="宋体" w:cs="宋体"/>
          <w:b/>
          <w:sz w:val="22"/>
          <w:szCs w:val="22"/>
          <w:lang w:val="zh-CN"/>
        </w:rPr>
        <w:t>）</w:t>
      </w:r>
      <w:r>
        <w:rPr>
          <w:rFonts w:hint="eastAsia" w:cs="宋体"/>
          <w:b/>
          <w:sz w:val="24"/>
          <w:szCs w:val="24"/>
          <w:lang w:val="en-US" w:eastAsia="zh-CN"/>
        </w:rPr>
        <w:t>近三年同类项目业绩一览表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2166"/>
        <w:gridCol w:w="1356"/>
        <w:gridCol w:w="1033"/>
        <w:gridCol w:w="1169"/>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31" w:type="dxa"/>
            <w:noWrap w:val="0"/>
            <w:vAlign w:val="center"/>
          </w:tcPr>
          <w:p>
            <w:pPr>
              <w:pStyle w:val="20"/>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166" w:type="dxa"/>
            <w:noWrap w:val="0"/>
            <w:vAlign w:val="center"/>
          </w:tcPr>
          <w:p>
            <w:pPr>
              <w:pStyle w:val="20"/>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项目名称</w:t>
            </w:r>
          </w:p>
        </w:tc>
        <w:tc>
          <w:tcPr>
            <w:tcW w:w="1356" w:type="dxa"/>
            <w:noWrap w:val="0"/>
            <w:vAlign w:val="center"/>
          </w:tcPr>
          <w:p>
            <w:pPr>
              <w:pStyle w:val="20"/>
              <w:ind w:firstLine="0" w:firstLineChars="0"/>
              <w:jc w:val="center"/>
              <w:rPr>
                <w:rFonts w:hint="eastAsia" w:ascii="宋体" w:hAnsi="宋体" w:eastAsia="宋体" w:cs="宋体"/>
                <w:b/>
                <w:bCs/>
                <w:sz w:val="24"/>
                <w:szCs w:val="24"/>
                <w:lang w:val="en-US" w:eastAsia="zh-CN"/>
              </w:rPr>
            </w:pPr>
            <w:r>
              <w:rPr>
                <w:rFonts w:hint="eastAsia" w:cs="宋体"/>
                <w:b/>
                <w:bCs/>
                <w:sz w:val="24"/>
                <w:szCs w:val="24"/>
                <w:lang w:val="en-US" w:eastAsia="zh-CN"/>
              </w:rPr>
              <w:t>签订时间</w:t>
            </w:r>
          </w:p>
        </w:tc>
        <w:tc>
          <w:tcPr>
            <w:tcW w:w="1033" w:type="dxa"/>
            <w:noWrap w:val="0"/>
            <w:vAlign w:val="center"/>
          </w:tcPr>
          <w:p>
            <w:pPr>
              <w:pStyle w:val="20"/>
              <w:ind w:firstLine="0" w:firstLineChars="0"/>
              <w:jc w:val="center"/>
              <w:rPr>
                <w:rFonts w:hint="eastAsia" w:ascii="宋体" w:hAnsi="宋体" w:eastAsia="宋体" w:cs="宋体"/>
                <w:b/>
                <w:bCs/>
                <w:sz w:val="24"/>
                <w:szCs w:val="24"/>
                <w:lang w:val="en-US" w:eastAsia="zh-CN"/>
              </w:rPr>
            </w:pPr>
            <w:r>
              <w:rPr>
                <w:rFonts w:hint="eastAsia" w:cs="宋体"/>
                <w:b/>
                <w:bCs/>
                <w:sz w:val="24"/>
                <w:szCs w:val="24"/>
                <w:lang w:val="en-US" w:eastAsia="zh-CN"/>
              </w:rPr>
              <w:t>金额</w:t>
            </w:r>
          </w:p>
        </w:tc>
        <w:tc>
          <w:tcPr>
            <w:tcW w:w="1169" w:type="dxa"/>
            <w:noWrap w:val="0"/>
            <w:vAlign w:val="center"/>
          </w:tcPr>
          <w:p>
            <w:pPr>
              <w:pStyle w:val="20"/>
              <w:ind w:firstLine="0" w:firstLineChars="0"/>
              <w:jc w:val="center"/>
              <w:rPr>
                <w:rFonts w:hint="eastAsia" w:ascii="宋体" w:hAnsi="宋体" w:eastAsia="宋体" w:cs="宋体"/>
                <w:b/>
                <w:bCs/>
                <w:sz w:val="24"/>
                <w:szCs w:val="24"/>
                <w:lang w:val="en-US" w:eastAsia="zh-CN"/>
              </w:rPr>
            </w:pPr>
            <w:r>
              <w:rPr>
                <w:rFonts w:hint="eastAsia" w:cs="宋体"/>
                <w:b/>
                <w:bCs/>
                <w:sz w:val="24"/>
                <w:szCs w:val="24"/>
                <w:lang w:val="en-US" w:eastAsia="zh-CN"/>
              </w:rPr>
              <w:t>采购人</w:t>
            </w:r>
          </w:p>
        </w:tc>
        <w:tc>
          <w:tcPr>
            <w:tcW w:w="1703" w:type="dxa"/>
            <w:noWrap w:val="0"/>
            <w:vAlign w:val="center"/>
          </w:tcPr>
          <w:p>
            <w:pPr>
              <w:pStyle w:val="20"/>
              <w:ind w:firstLine="0" w:firstLineChars="0"/>
              <w:jc w:val="center"/>
              <w:rPr>
                <w:rFonts w:hint="eastAsia" w:ascii="宋体" w:hAnsi="宋体" w:eastAsia="宋体" w:cs="宋体"/>
                <w:b/>
                <w:bCs/>
                <w:sz w:val="24"/>
                <w:szCs w:val="24"/>
                <w:lang w:val="en-US" w:eastAsia="zh-CN"/>
              </w:rPr>
            </w:pPr>
            <w:r>
              <w:rPr>
                <w:rFonts w:hint="eastAsia" w:cs="宋体"/>
                <w:b/>
                <w:bCs/>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31" w:type="dxa"/>
            <w:noWrap w:val="0"/>
            <w:vAlign w:val="top"/>
          </w:tcPr>
          <w:p>
            <w:pPr>
              <w:pStyle w:val="20"/>
              <w:ind w:firstLine="0" w:firstLineChars="0"/>
              <w:rPr>
                <w:rFonts w:hint="eastAsia" w:ascii="宋体" w:hAnsi="宋体" w:eastAsia="宋体" w:cs="宋体"/>
                <w:szCs w:val="21"/>
              </w:rPr>
            </w:pPr>
          </w:p>
        </w:tc>
        <w:tc>
          <w:tcPr>
            <w:tcW w:w="2166" w:type="dxa"/>
            <w:noWrap w:val="0"/>
            <w:vAlign w:val="top"/>
          </w:tcPr>
          <w:p>
            <w:pPr>
              <w:pStyle w:val="20"/>
              <w:ind w:firstLine="0" w:firstLineChars="0"/>
              <w:rPr>
                <w:rFonts w:hint="eastAsia" w:ascii="宋体" w:hAnsi="宋体" w:eastAsia="宋体" w:cs="宋体"/>
                <w:szCs w:val="21"/>
              </w:rPr>
            </w:pPr>
          </w:p>
        </w:tc>
        <w:tc>
          <w:tcPr>
            <w:tcW w:w="1356" w:type="dxa"/>
            <w:noWrap w:val="0"/>
            <w:vAlign w:val="top"/>
          </w:tcPr>
          <w:p>
            <w:pPr>
              <w:pStyle w:val="20"/>
              <w:ind w:firstLine="0" w:firstLineChars="0"/>
              <w:rPr>
                <w:rFonts w:hint="eastAsia" w:ascii="宋体" w:hAnsi="宋体" w:eastAsia="宋体" w:cs="宋体"/>
                <w:szCs w:val="21"/>
              </w:rPr>
            </w:pPr>
          </w:p>
        </w:tc>
        <w:tc>
          <w:tcPr>
            <w:tcW w:w="1033" w:type="dxa"/>
            <w:noWrap w:val="0"/>
            <w:vAlign w:val="top"/>
          </w:tcPr>
          <w:p>
            <w:pPr>
              <w:pStyle w:val="20"/>
              <w:ind w:firstLine="0" w:firstLineChars="0"/>
              <w:rPr>
                <w:rFonts w:hint="eastAsia" w:ascii="宋体" w:hAnsi="宋体" w:eastAsia="宋体" w:cs="宋体"/>
                <w:szCs w:val="21"/>
              </w:rPr>
            </w:pPr>
          </w:p>
        </w:tc>
        <w:tc>
          <w:tcPr>
            <w:tcW w:w="1169" w:type="dxa"/>
            <w:noWrap w:val="0"/>
            <w:vAlign w:val="top"/>
          </w:tcPr>
          <w:p>
            <w:pPr>
              <w:pStyle w:val="20"/>
              <w:ind w:firstLine="0" w:firstLineChars="0"/>
              <w:rPr>
                <w:rFonts w:hint="eastAsia" w:ascii="宋体" w:hAnsi="宋体" w:eastAsia="宋体" w:cs="宋体"/>
                <w:szCs w:val="21"/>
              </w:rPr>
            </w:pPr>
          </w:p>
        </w:tc>
        <w:tc>
          <w:tcPr>
            <w:tcW w:w="1703" w:type="dxa"/>
            <w:noWrap w:val="0"/>
            <w:vAlign w:val="top"/>
          </w:tcPr>
          <w:p>
            <w:pPr>
              <w:pStyle w:val="20"/>
              <w:ind w:firstLine="0" w:firstLineChars="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31" w:type="dxa"/>
            <w:noWrap w:val="0"/>
            <w:vAlign w:val="top"/>
          </w:tcPr>
          <w:p>
            <w:pPr>
              <w:pStyle w:val="20"/>
              <w:ind w:firstLine="0" w:firstLineChars="0"/>
              <w:rPr>
                <w:rFonts w:hint="eastAsia" w:ascii="宋体" w:hAnsi="宋体" w:eastAsia="宋体" w:cs="宋体"/>
                <w:szCs w:val="21"/>
              </w:rPr>
            </w:pPr>
          </w:p>
        </w:tc>
        <w:tc>
          <w:tcPr>
            <w:tcW w:w="2166" w:type="dxa"/>
            <w:noWrap w:val="0"/>
            <w:vAlign w:val="top"/>
          </w:tcPr>
          <w:p>
            <w:pPr>
              <w:pStyle w:val="20"/>
              <w:ind w:firstLine="0" w:firstLineChars="0"/>
              <w:rPr>
                <w:rFonts w:hint="eastAsia" w:ascii="宋体" w:hAnsi="宋体" w:eastAsia="宋体" w:cs="宋体"/>
                <w:szCs w:val="21"/>
              </w:rPr>
            </w:pPr>
          </w:p>
        </w:tc>
        <w:tc>
          <w:tcPr>
            <w:tcW w:w="1356" w:type="dxa"/>
            <w:noWrap w:val="0"/>
            <w:vAlign w:val="top"/>
          </w:tcPr>
          <w:p>
            <w:pPr>
              <w:pStyle w:val="20"/>
              <w:ind w:firstLine="0" w:firstLineChars="0"/>
              <w:rPr>
                <w:rFonts w:hint="eastAsia" w:ascii="宋体" w:hAnsi="宋体" w:eastAsia="宋体" w:cs="宋体"/>
                <w:szCs w:val="21"/>
              </w:rPr>
            </w:pPr>
          </w:p>
        </w:tc>
        <w:tc>
          <w:tcPr>
            <w:tcW w:w="1033" w:type="dxa"/>
            <w:noWrap w:val="0"/>
            <w:vAlign w:val="top"/>
          </w:tcPr>
          <w:p>
            <w:pPr>
              <w:pStyle w:val="20"/>
              <w:ind w:firstLine="0" w:firstLineChars="0"/>
              <w:rPr>
                <w:rFonts w:hint="eastAsia" w:ascii="宋体" w:hAnsi="宋体" w:eastAsia="宋体" w:cs="宋体"/>
                <w:szCs w:val="21"/>
              </w:rPr>
            </w:pPr>
          </w:p>
        </w:tc>
        <w:tc>
          <w:tcPr>
            <w:tcW w:w="1169" w:type="dxa"/>
            <w:noWrap w:val="0"/>
            <w:vAlign w:val="top"/>
          </w:tcPr>
          <w:p>
            <w:pPr>
              <w:pStyle w:val="20"/>
              <w:ind w:firstLine="0" w:firstLineChars="0"/>
              <w:rPr>
                <w:rFonts w:hint="eastAsia" w:ascii="宋体" w:hAnsi="宋体" w:eastAsia="宋体" w:cs="宋体"/>
                <w:szCs w:val="21"/>
              </w:rPr>
            </w:pPr>
          </w:p>
        </w:tc>
        <w:tc>
          <w:tcPr>
            <w:tcW w:w="1703" w:type="dxa"/>
            <w:noWrap w:val="0"/>
            <w:vAlign w:val="top"/>
          </w:tcPr>
          <w:p>
            <w:pPr>
              <w:pStyle w:val="20"/>
              <w:ind w:firstLine="0" w:firstLineChars="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31" w:type="dxa"/>
            <w:noWrap w:val="0"/>
            <w:vAlign w:val="top"/>
          </w:tcPr>
          <w:p>
            <w:pPr>
              <w:pStyle w:val="20"/>
              <w:ind w:firstLine="0" w:firstLineChars="0"/>
              <w:rPr>
                <w:rFonts w:hint="eastAsia" w:ascii="宋体" w:hAnsi="宋体" w:eastAsia="宋体" w:cs="宋体"/>
                <w:szCs w:val="21"/>
              </w:rPr>
            </w:pPr>
          </w:p>
        </w:tc>
        <w:tc>
          <w:tcPr>
            <w:tcW w:w="2166" w:type="dxa"/>
            <w:noWrap w:val="0"/>
            <w:vAlign w:val="top"/>
          </w:tcPr>
          <w:p>
            <w:pPr>
              <w:pStyle w:val="20"/>
              <w:ind w:firstLine="0" w:firstLineChars="0"/>
              <w:rPr>
                <w:rFonts w:hint="eastAsia" w:ascii="宋体" w:hAnsi="宋体" w:eastAsia="宋体" w:cs="宋体"/>
                <w:szCs w:val="21"/>
              </w:rPr>
            </w:pPr>
          </w:p>
        </w:tc>
        <w:tc>
          <w:tcPr>
            <w:tcW w:w="1356" w:type="dxa"/>
            <w:noWrap w:val="0"/>
            <w:vAlign w:val="top"/>
          </w:tcPr>
          <w:p>
            <w:pPr>
              <w:pStyle w:val="20"/>
              <w:ind w:firstLine="0" w:firstLineChars="0"/>
              <w:rPr>
                <w:rFonts w:hint="eastAsia" w:ascii="宋体" w:hAnsi="宋体" w:eastAsia="宋体" w:cs="宋体"/>
                <w:szCs w:val="21"/>
              </w:rPr>
            </w:pPr>
          </w:p>
        </w:tc>
        <w:tc>
          <w:tcPr>
            <w:tcW w:w="1033" w:type="dxa"/>
            <w:noWrap w:val="0"/>
            <w:vAlign w:val="top"/>
          </w:tcPr>
          <w:p>
            <w:pPr>
              <w:pStyle w:val="20"/>
              <w:ind w:firstLine="0" w:firstLineChars="0"/>
              <w:rPr>
                <w:rFonts w:hint="eastAsia" w:ascii="宋体" w:hAnsi="宋体" w:eastAsia="宋体" w:cs="宋体"/>
                <w:szCs w:val="21"/>
              </w:rPr>
            </w:pPr>
          </w:p>
        </w:tc>
        <w:tc>
          <w:tcPr>
            <w:tcW w:w="1169" w:type="dxa"/>
            <w:noWrap w:val="0"/>
            <w:vAlign w:val="top"/>
          </w:tcPr>
          <w:p>
            <w:pPr>
              <w:pStyle w:val="20"/>
              <w:ind w:firstLine="0" w:firstLineChars="0"/>
              <w:rPr>
                <w:rFonts w:hint="eastAsia" w:ascii="宋体" w:hAnsi="宋体" w:eastAsia="宋体" w:cs="宋体"/>
                <w:szCs w:val="21"/>
              </w:rPr>
            </w:pPr>
          </w:p>
        </w:tc>
        <w:tc>
          <w:tcPr>
            <w:tcW w:w="1703" w:type="dxa"/>
            <w:noWrap w:val="0"/>
            <w:vAlign w:val="top"/>
          </w:tcPr>
          <w:p>
            <w:pPr>
              <w:pStyle w:val="20"/>
              <w:ind w:firstLine="0" w:firstLineChars="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31" w:type="dxa"/>
            <w:noWrap w:val="0"/>
            <w:vAlign w:val="top"/>
          </w:tcPr>
          <w:p>
            <w:pPr>
              <w:pStyle w:val="20"/>
              <w:ind w:firstLine="0" w:firstLineChars="0"/>
              <w:rPr>
                <w:rFonts w:hint="eastAsia" w:ascii="宋体" w:hAnsi="宋体" w:eastAsia="宋体" w:cs="宋体"/>
                <w:szCs w:val="21"/>
              </w:rPr>
            </w:pPr>
          </w:p>
        </w:tc>
        <w:tc>
          <w:tcPr>
            <w:tcW w:w="2166" w:type="dxa"/>
            <w:noWrap w:val="0"/>
            <w:vAlign w:val="top"/>
          </w:tcPr>
          <w:p>
            <w:pPr>
              <w:pStyle w:val="20"/>
              <w:ind w:firstLine="0" w:firstLineChars="0"/>
              <w:rPr>
                <w:rFonts w:hint="eastAsia" w:ascii="宋体" w:hAnsi="宋体" w:eastAsia="宋体" w:cs="宋体"/>
                <w:szCs w:val="21"/>
              </w:rPr>
            </w:pPr>
          </w:p>
        </w:tc>
        <w:tc>
          <w:tcPr>
            <w:tcW w:w="1356" w:type="dxa"/>
            <w:noWrap w:val="0"/>
            <w:vAlign w:val="top"/>
          </w:tcPr>
          <w:p>
            <w:pPr>
              <w:pStyle w:val="20"/>
              <w:ind w:firstLine="0" w:firstLineChars="0"/>
              <w:rPr>
                <w:rFonts w:hint="eastAsia" w:ascii="宋体" w:hAnsi="宋体" w:eastAsia="宋体" w:cs="宋体"/>
                <w:szCs w:val="21"/>
              </w:rPr>
            </w:pPr>
          </w:p>
        </w:tc>
        <w:tc>
          <w:tcPr>
            <w:tcW w:w="1033" w:type="dxa"/>
            <w:noWrap w:val="0"/>
            <w:vAlign w:val="top"/>
          </w:tcPr>
          <w:p>
            <w:pPr>
              <w:pStyle w:val="20"/>
              <w:ind w:firstLine="0" w:firstLineChars="0"/>
              <w:rPr>
                <w:rFonts w:hint="eastAsia" w:ascii="宋体" w:hAnsi="宋体" w:eastAsia="宋体" w:cs="宋体"/>
                <w:szCs w:val="21"/>
              </w:rPr>
            </w:pPr>
          </w:p>
        </w:tc>
        <w:tc>
          <w:tcPr>
            <w:tcW w:w="1169" w:type="dxa"/>
            <w:noWrap w:val="0"/>
            <w:vAlign w:val="top"/>
          </w:tcPr>
          <w:p>
            <w:pPr>
              <w:pStyle w:val="20"/>
              <w:ind w:firstLine="0" w:firstLineChars="0"/>
              <w:rPr>
                <w:rFonts w:hint="eastAsia" w:ascii="宋体" w:hAnsi="宋体" w:eastAsia="宋体" w:cs="宋体"/>
                <w:szCs w:val="21"/>
              </w:rPr>
            </w:pPr>
          </w:p>
        </w:tc>
        <w:tc>
          <w:tcPr>
            <w:tcW w:w="1703" w:type="dxa"/>
            <w:noWrap w:val="0"/>
            <w:vAlign w:val="top"/>
          </w:tcPr>
          <w:p>
            <w:pPr>
              <w:pStyle w:val="20"/>
              <w:ind w:firstLine="0" w:firstLineChars="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31" w:type="dxa"/>
            <w:noWrap w:val="0"/>
            <w:vAlign w:val="top"/>
          </w:tcPr>
          <w:p>
            <w:pPr>
              <w:pStyle w:val="20"/>
              <w:ind w:firstLine="0" w:firstLineChars="0"/>
              <w:rPr>
                <w:rFonts w:hint="eastAsia" w:ascii="宋体" w:hAnsi="宋体" w:eastAsia="宋体" w:cs="宋体"/>
                <w:szCs w:val="21"/>
              </w:rPr>
            </w:pPr>
          </w:p>
        </w:tc>
        <w:tc>
          <w:tcPr>
            <w:tcW w:w="2166" w:type="dxa"/>
            <w:noWrap w:val="0"/>
            <w:vAlign w:val="top"/>
          </w:tcPr>
          <w:p>
            <w:pPr>
              <w:pStyle w:val="20"/>
              <w:ind w:firstLine="0" w:firstLineChars="0"/>
              <w:rPr>
                <w:rFonts w:hint="eastAsia" w:ascii="宋体" w:hAnsi="宋体" w:eastAsia="宋体" w:cs="宋体"/>
                <w:szCs w:val="21"/>
              </w:rPr>
            </w:pPr>
          </w:p>
        </w:tc>
        <w:tc>
          <w:tcPr>
            <w:tcW w:w="1356" w:type="dxa"/>
            <w:noWrap w:val="0"/>
            <w:vAlign w:val="top"/>
          </w:tcPr>
          <w:p>
            <w:pPr>
              <w:pStyle w:val="20"/>
              <w:ind w:firstLine="0" w:firstLineChars="0"/>
              <w:rPr>
                <w:rFonts w:hint="eastAsia" w:ascii="宋体" w:hAnsi="宋体" w:eastAsia="宋体" w:cs="宋体"/>
                <w:szCs w:val="21"/>
              </w:rPr>
            </w:pPr>
          </w:p>
        </w:tc>
        <w:tc>
          <w:tcPr>
            <w:tcW w:w="1033" w:type="dxa"/>
            <w:noWrap w:val="0"/>
            <w:vAlign w:val="top"/>
          </w:tcPr>
          <w:p>
            <w:pPr>
              <w:pStyle w:val="20"/>
              <w:ind w:firstLine="0" w:firstLineChars="0"/>
              <w:rPr>
                <w:rFonts w:hint="eastAsia" w:ascii="宋体" w:hAnsi="宋体" w:eastAsia="宋体" w:cs="宋体"/>
                <w:szCs w:val="21"/>
              </w:rPr>
            </w:pPr>
          </w:p>
        </w:tc>
        <w:tc>
          <w:tcPr>
            <w:tcW w:w="1169" w:type="dxa"/>
            <w:noWrap w:val="0"/>
            <w:vAlign w:val="top"/>
          </w:tcPr>
          <w:p>
            <w:pPr>
              <w:pStyle w:val="20"/>
              <w:ind w:firstLine="0" w:firstLineChars="0"/>
              <w:rPr>
                <w:rFonts w:hint="eastAsia" w:ascii="宋体" w:hAnsi="宋体" w:eastAsia="宋体" w:cs="宋体"/>
                <w:szCs w:val="21"/>
              </w:rPr>
            </w:pPr>
          </w:p>
        </w:tc>
        <w:tc>
          <w:tcPr>
            <w:tcW w:w="1703" w:type="dxa"/>
            <w:noWrap w:val="0"/>
            <w:vAlign w:val="top"/>
          </w:tcPr>
          <w:p>
            <w:pPr>
              <w:pStyle w:val="20"/>
              <w:ind w:firstLine="0" w:firstLineChars="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31" w:type="dxa"/>
            <w:noWrap w:val="0"/>
            <w:vAlign w:val="top"/>
          </w:tcPr>
          <w:p>
            <w:pPr>
              <w:pStyle w:val="20"/>
              <w:ind w:firstLine="0" w:firstLineChars="0"/>
              <w:rPr>
                <w:rFonts w:hint="eastAsia" w:ascii="宋体" w:hAnsi="宋体" w:eastAsia="宋体" w:cs="宋体"/>
                <w:szCs w:val="21"/>
              </w:rPr>
            </w:pPr>
          </w:p>
        </w:tc>
        <w:tc>
          <w:tcPr>
            <w:tcW w:w="2166" w:type="dxa"/>
            <w:noWrap w:val="0"/>
            <w:vAlign w:val="top"/>
          </w:tcPr>
          <w:p>
            <w:pPr>
              <w:pStyle w:val="20"/>
              <w:ind w:firstLine="0" w:firstLineChars="0"/>
              <w:rPr>
                <w:rFonts w:hint="eastAsia" w:ascii="宋体" w:hAnsi="宋体" w:eastAsia="宋体" w:cs="宋体"/>
                <w:szCs w:val="21"/>
              </w:rPr>
            </w:pPr>
          </w:p>
        </w:tc>
        <w:tc>
          <w:tcPr>
            <w:tcW w:w="1356" w:type="dxa"/>
            <w:noWrap w:val="0"/>
            <w:vAlign w:val="top"/>
          </w:tcPr>
          <w:p>
            <w:pPr>
              <w:pStyle w:val="20"/>
              <w:ind w:firstLine="0" w:firstLineChars="0"/>
              <w:rPr>
                <w:rFonts w:hint="eastAsia" w:ascii="宋体" w:hAnsi="宋体" w:eastAsia="宋体" w:cs="宋体"/>
                <w:szCs w:val="21"/>
              </w:rPr>
            </w:pPr>
          </w:p>
        </w:tc>
        <w:tc>
          <w:tcPr>
            <w:tcW w:w="1033" w:type="dxa"/>
            <w:noWrap w:val="0"/>
            <w:vAlign w:val="top"/>
          </w:tcPr>
          <w:p>
            <w:pPr>
              <w:pStyle w:val="20"/>
              <w:ind w:firstLine="0" w:firstLineChars="0"/>
              <w:rPr>
                <w:rFonts w:hint="eastAsia" w:ascii="宋体" w:hAnsi="宋体" w:eastAsia="宋体" w:cs="宋体"/>
                <w:szCs w:val="21"/>
              </w:rPr>
            </w:pPr>
          </w:p>
        </w:tc>
        <w:tc>
          <w:tcPr>
            <w:tcW w:w="1169" w:type="dxa"/>
            <w:noWrap w:val="0"/>
            <w:vAlign w:val="top"/>
          </w:tcPr>
          <w:p>
            <w:pPr>
              <w:pStyle w:val="20"/>
              <w:ind w:firstLine="0" w:firstLineChars="0"/>
              <w:rPr>
                <w:rFonts w:hint="eastAsia" w:ascii="宋体" w:hAnsi="宋体" w:eastAsia="宋体" w:cs="宋体"/>
                <w:szCs w:val="21"/>
              </w:rPr>
            </w:pPr>
          </w:p>
        </w:tc>
        <w:tc>
          <w:tcPr>
            <w:tcW w:w="1703" w:type="dxa"/>
            <w:noWrap w:val="0"/>
            <w:vAlign w:val="top"/>
          </w:tcPr>
          <w:p>
            <w:pPr>
              <w:pStyle w:val="20"/>
              <w:ind w:firstLine="0" w:firstLineChars="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31" w:type="dxa"/>
            <w:noWrap w:val="0"/>
            <w:vAlign w:val="top"/>
          </w:tcPr>
          <w:p>
            <w:pPr>
              <w:pStyle w:val="20"/>
              <w:ind w:firstLine="0" w:firstLineChars="0"/>
              <w:rPr>
                <w:rFonts w:hint="eastAsia" w:ascii="宋体" w:hAnsi="宋体" w:eastAsia="宋体" w:cs="宋体"/>
                <w:szCs w:val="21"/>
              </w:rPr>
            </w:pPr>
          </w:p>
        </w:tc>
        <w:tc>
          <w:tcPr>
            <w:tcW w:w="2166" w:type="dxa"/>
            <w:noWrap w:val="0"/>
            <w:vAlign w:val="top"/>
          </w:tcPr>
          <w:p>
            <w:pPr>
              <w:pStyle w:val="20"/>
              <w:ind w:firstLine="0" w:firstLineChars="0"/>
              <w:rPr>
                <w:rFonts w:hint="eastAsia" w:ascii="宋体" w:hAnsi="宋体" w:eastAsia="宋体" w:cs="宋体"/>
                <w:szCs w:val="21"/>
              </w:rPr>
            </w:pPr>
          </w:p>
        </w:tc>
        <w:tc>
          <w:tcPr>
            <w:tcW w:w="1356" w:type="dxa"/>
            <w:noWrap w:val="0"/>
            <w:vAlign w:val="top"/>
          </w:tcPr>
          <w:p>
            <w:pPr>
              <w:pStyle w:val="20"/>
              <w:ind w:firstLine="0" w:firstLineChars="0"/>
              <w:rPr>
                <w:rFonts w:hint="eastAsia" w:ascii="宋体" w:hAnsi="宋体" w:eastAsia="宋体" w:cs="宋体"/>
                <w:szCs w:val="21"/>
              </w:rPr>
            </w:pPr>
          </w:p>
        </w:tc>
        <w:tc>
          <w:tcPr>
            <w:tcW w:w="1033" w:type="dxa"/>
            <w:noWrap w:val="0"/>
            <w:vAlign w:val="top"/>
          </w:tcPr>
          <w:p>
            <w:pPr>
              <w:pStyle w:val="20"/>
              <w:ind w:firstLine="0" w:firstLineChars="0"/>
              <w:rPr>
                <w:rFonts w:hint="eastAsia" w:ascii="宋体" w:hAnsi="宋体" w:eastAsia="宋体" w:cs="宋体"/>
                <w:szCs w:val="21"/>
              </w:rPr>
            </w:pPr>
          </w:p>
        </w:tc>
        <w:tc>
          <w:tcPr>
            <w:tcW w:w="1169" w:type="dxa"/>
            <w:noWrap w:val="0"/>
            <w:vAlign w:val="top"/>
          </w:tcPr>
          <w:p>
            <w:pPr>
              <w:pStyle w:val="20"/>
              <w:ind w:firstLine="0" w:firstLineChars="0"/>
              <w:rPr>
                <w:rFonts w:hint="eastAsia" w:ascii="宋体" w:hAnsi="宋体" w:eastAsia="宋体" w:cs="宋体"/>
                <w:szCs w:val="21"/>
              </w:rPr>
            </w:pPr>
          </w:p>
        </w:tc>
        <w:tc>
          <w:tcPr>
            <w:tcW w:w="1703" w:type="dxa"/>
            <w:noWrap w:val="0"/>
            <w:vAlign w:val="top"/>
          </w:tcPr>
          <w:p>
            <w:pPr>
              <w:pStyle w:val="20"/>
              <w:ind w:firstLine="0" w:firstLineChars="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31" w:type="dxa"/>
            <w:noWrap w:val="0"/>
            <w:vAlign w:val="top"/>
          </w:tcPr>
          <w:p>
            <w:pPr>
              <w:pStyle w:val="20"/>
              <w:ind w:firstLine="0" w:firstLineChars="0"/>
              <w:rPr>
                <w:rFonts w:hint="eastAsia" w:ascii="宋体" w:hAnsi="宋体" w:eastAsia="宋体" w:cs="宋体"/>
                <w:szCs w:val="21"/>
              </w:rPr>
            </w:pPr>
          </w:p>
        </w:tc>
        <w:tc>
          <w:tcPr>
            <w:tcW w:w="2166" w:type="dxa"/>
            <w:noWrap w:val="0"/>
            <w:vAlign w:val="top"/>
          </w:tcPr>
          <w:p>
            <w:pPr>
              <w:pStyle w:val="20"/>
              <w:ind w:firstLine="0" w:firstLineChars="0"/>
              <w:rPr>
                <w:rFonts w:hint="eastAsia" w:ascii="宋体" w:hAnsi="宋体" w:eastAsia="宋体" w:cs="宋体"/>
                <w:szCs w:val="21"/>
              </w:rPr>
            </w:pPr>
          </w:p>
        </w:tc>
        <w:tc>
          <w:tcPr>
            <w:tcW w:w="1356" w:type="dxa"/>
            <w:noWrap w:val="0"/>
            <w:vAlign w:val="top"/>
          </w:tcPr>
          <w:p>
            <w:pPr>
              <w:pStyle w:val="20"/>
              <w:ind w:firstLine="0" w:firstLineChars="0"/>
              <w:rPr>
                <w:rFonts w:hint="eastAsia" w:ascii="宋体" w:hAnsi="宋体" w:eastAsia="宋体" w:cs="宋体"/>
                <w:szCs w:val="21"/>
              </w:rPr>
            </w:pPr>
          </w:p>
        </w:tc>
        <w:tc>
          <w:tcPr>
            <w:tcW w:w="1033" w:type="dxa"/>
            <w:noWrap w:val="0"/>
            <w:vAlign w:val="top"/>
          </w:tcPr>
          <w:p>
            <w:pPr>
              <w:pStyle w:val="20"/>
              <w:ind w:firstLine="0" w:firstLineChars="0"/>
              <w:rPr>
                <w:rFonts w:hint="eastAsia" w:ascii="宋体" w:hAnsi="宋体" w:eastAsia="宋体" w:cs="宋体"/>
                <w:szCs w:val="21"/>
              </w:rPr>
            </w:pPr>
          </w:p>
        </w:tc>
        <w:tc>
          <w:tcPr>
            <w:tcW w:w="1169" w:type="dxa"/>
            <w:noWrap w:val="0"/>
            <w:vAlign w:val="top"/>
          </w:tcPr>
          <w:p>
            <w:pPr>
              <w:pStyle w:val="20"/>
              <w:ind w:firstLine="0" w:firstLineChars="0"/>
              <w:rPr>
                <w:rFonts w:hint="eastAsia" w:ascii="宋体" w:hAnsi="宋体" w:eastAsia="宋体" w:cs="宋体"/>
                <w:szCs w:val="21"/>
              </w:rPr>
            </w:pPr>
          </w:p>
        </w:tc>
        <w:tc>
          <w:tcPr>
            <w:tcW w:w="1703" w:type="dxa"/>
            <w:noWrap w:val="0"/>
            <w:vAlign w:val="top"/>
          </w:tcPr>
          <w:p>
            <w:pPr>
              <w:pStyle w:val="20"/>
              <w:ind w:firstLine="0" w:firstLineChars="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31" w:type="dxa"/>
            <w:noWrap w:val="0"/>
            <w:vAlign w:val="top"/>
          </w:tcPr>
          <w:p>
            <w:pPr>
              <w:pStyle w:val="20"/>
              <w:ind w:firstLine="0" w:firstLineChars="0"/>
              <w:rPr>
                <w:rFonts w:hint="eastAsia" w:ascii="宋体" w:hAnsi="宋体" w:eastAsia="宋体" w:cs="宋体"/>
                <w:szCs w:val="21"/>
              </w:rPr>
            </w:pPr>
          </w:p>
        </w:tc>
        <w:tc>
          <w:tcPr>
            <w:tcW w:w="2166" w:type="dxa"/>
            <w:noWrap w:val="0"/>
            <w:vAlign w:val="top"/>
          </w:tcPr>
          <w:p>
            <w:pPr>
              <w:pStyle w:val="20"/>
              <w:ind w:firstLine="0" w:firstLineChars="0"/>
              <w:rPr>
                <w:rFonts w:hint="eastAsia" w:ascii="宋体" w:hAnsi="宋体" w:eastAsia="宋体" w:cs="宋体"/>
                <w:szCs w:val="21"/>
              </w:rPr>
            </w:pPr>
          </w:p>
        </w:tc>
        <w:tc>
          <w:tcPr>
            <w:tcW w:w="1356" w:type="dxa"/>
            <w:noWrap w:val="0"/>
            <w:vAlign w:val="top"/>
          </w:tcPr>
          <w:p>
            <w:pPr>
              <w:pStyle w:val="20"/>
              <w:ind w:firstLine="0" w:firstLineChars="0"/>
              <w:rPr>
                <w:rFonts w:hint="eastAsia" w:ascii="宋体" w:hAnsi="宋体" w:eastAsia="宋体" w:cs="宋体"/>
                <w:szCs w:val="21"/>
              </w:rPr>
            </w:pPr>
          </w:p>
        </w:tc>
        <w:tc>
          <w:tcPr>
            <w:tcW w:w="1033" w:type="dxa"/>
            <w:noWrap w:val="0"/>
            <w:vAlign w:val="top"/>
          </w:tcPr>
          <w:p>
            <w:pPr>
              <w:pStyle w:val="20"/>
              <w:ind w:firstLine="0" w:firstLineChars="0"/>
              <w:rPr>
                <w:rFonts w:hint="eastAsia" w:ascii="宋体" w:hAnsi="宋体" w:eastAsia="宋体" w:cs="宋体"/>
                <w:szCs w:val="21"/>
              </w:rPr>
            </w:pPr>
          </w:p>
        </w:tc>
        <w:tc>
          <w:tcPr>
            <w:tcW w:w="1169" w:type="dxa"/>
            <w:noWrap w:val="0"/>
            <w:vAlign w:val="top"/>
          </w:tcPr>
          <w:p>
            <w:pPr>
              <w:pStyle w:val="20"/>
              <w:ind w:firstLine="0" w:firstLineChars="0"/>
              <w:rPr>
                <w:rFonts w:hint="eastAsia" w:ascii="宋体" w:hAnsi="宋体" w:eastAsia="宋体" w:cs="宋体"/>
                <w:szCs w:val="21"/>
              </w:rPr>
            </w:pPr>
          </w:p>
        </w:tc>
        <w:tc>
          <w:tcPr>
            <w:tcW w:w="1703" w:type="dxa"/>
            <w:noWrap w:val="0"/>
            <w:vAlign w:val="top"/>
          </w:tcPr>
          <w:p>
            <w:pPr>
              <w:pStyle w:val="20"/>
              <w:ind w:firstLine="0" w:firstLineChars="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31" w:type="dxa"/>
            <w:noWrap w:val="0"/>
            <w:vAlign w:val="top"/>
          </w:tcPr>
          <w:p>
            <w:pPr>
              <w:pStyle w:val="20"/>
              <w:ind w:firstLine="0" w:firstLineChars="0"/>
              <w:rPr>
                <w:rFonts w:hint="eastAsia" w:ascii="宋体" w:hAnsi="宋体" w:eastAsia="宋体" w:cs="宋体"/>
                <w:szCs w:val="21"/>
              </w:rPr>
            </w:pPr>
          </w:p>
        </w:tc>
        <w:tc>
          <w:tcPr>
            <w:tcW w:w="2166" w:type="dxa"/>
            <w:noWrap w:val="0"/>
            <w:vAlign w:val="top"/>
          </w:tcPr>
          <w:p>
            <w:pPr>
              <w:pStyle w:val="20"/>
              <w:ind w:firstLine="0" w:firstLineChars="0"/>
              <w:rPr>
                <w:rFonts w:hint="eastAsia" w:ascii="宋体" w:hAnsi="宋体" w:eastAsia="宋体" w:cs="宋体"/>
                <w:szCs w:val="21"/>
              </w:rPr>
            </w:pPr>
          </w:p>
        </w:tc>
        <w:tc>
          <w:tcPr>
            <w:tcW w:w="1356" w:type="dxa"/>
            <w:noWrap w:val="0"/>
            <w:vAlign w:val="top"/>
          </w:tcPr>
          <w:p>
            <w:pPr>
              <w:pStyle w:val="20"/>
              <w:ind w:firstLine="0" w:firstLineChars="0"/>
              <w:rPr>
                <w:rFonts w:hint="eastAsia" w:ascii="宋体" w:hAnsi="宋体" w:eastAsia="宋体" w:cs="宋体"/>
                <w:szCs w:val="21"/>
              </w:rPr>
            </w:pPr>
          </w:p>
        </w:tc>
        <w:tc>
          <w:tcPr>
            <w:tcW w:w="1033" w:type="dxa"/>
            <w:noWrap w:val="0"/>
            <w:vAlign w:val="top"/>
          </w:tcPr>
          <w:p>
            <w:pPr>
              <w:pStyle w:val="20"/>
              <w:ind w:firstLine="0" w:firstLineChars="0"/>
              <w:rPr>
                <w:rFonts w:hint="eastAsia" w:ascii="宋体" w:hAnsi="宋体" w:eastAsia="宋体" w:cs="宋体"/>
                <w:szCs w:val="21"/>
              </w:rPr>
            </w:pPr>
          </w:p>
        </w:tc>
        <w:tc>
          <w:tcPr>
            <w:tcW w:w="1169" w:type="dxa"/>
            <w:noWrap w:val="0"/>
            <w:vAlign w:val="top"/>
          </w:tcPr>
          <w:p>
            <w:pPr>
              <w:pStyle w:val="20"/>
              <w:ind w:firstLine="0" w:firstLineChars="0"/>
              <w:rPr>
                <w:rFonts w:hint="eastAsia" w:ascii="宋体" w:hAnsi="宋体" w:eastAsia="宋体" w:cs="宋体"/>
                <w:szCs w:val="21"/>
              </w:rPr>
            </w:pPr>
          </w:p>
        </w:tc>
        <w:tc>
          <w:tcPr>
            <w:tcW w:w="1703" w:type="dxa"/>
            <w:noWrap w:val="0"/>
            <w:vAlign w:val="top"/>
          </w:tcPr>
          <w:p>
            <w:pPr>
              <w:pStyle w:val="20"/>
              <w:ind w:firstLine="0" w:firstLineChars="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31" w:type="dxa"/>
            <w:noWrap w:val="0"/>
            <w:vAlign w:val="top"/>
          </w:tcPr>
          <w:p>
            <w:pPr>
              <w:pStyle w:val="20"/>
              <w:ind w:firstLine="0" w:firstLineChars="0"/>
              <w:rPr>
                <w:rFonts w:hint="eastAsia" w:ascii="宋体" w:hAnsi="宋体" w:eastAsia="宋体" w:cs="宋体"/>
                <w:szCs w:val="21"/>
              </w:rPr>
            </w:pPr>
          </w:p>
        </w:tc>
        <w:tc>
          <w:tcPr>
            <w:tcW w:w="2166" w:type="dxa"/>
            <w:noWrap w:val="0"/>
            <w:vAlign w:val="top"/>
          </w:tcPr>
          <w:p>
            <w:pPr>
              <w:pStyle w:val="20"/>
              <w:ind w:firstLine="0" w:firstLineChars="0"/>
              <w:rPr>
                <w:rFonts w:hint="eastAsia" w:ascii="宋体" w:hAnsi="宋体" w:eastAsia="宋体" w:cs="宋体"/>
                <w:szCs w:val="21"/>
              </w:rPr>
            </w:pPr>
          </w:p>
        </w:tc>
        <w:tc>
          <w:tcPr>
            <w:tcW w:w="1356" w:type="dxa"/>
            <w:noWrap w:val="0"/>
            <w:vAlign w:val="top"/>
          </w:tcPr>
          <w:p>
            <w:pPr>
              <w:pStyle w:val="20"/>
              <w:ind w:firstLine="0" w:firstLineChars="0"/>
              <w:rPr>
                <w:rFonts w:hint="eastAsia" w:ascii="宋体" w:hAnsi="宋体" w:eastAsia="宋体" w:cs="宋体"/>
                <w:szCs w:val="21"/>
              </w:rPr>
            </w:pPr>
          </w:p>
        </w:tc>
        <w:tc>
          <w:tcPr>
            <w:tcW w:w="1033" w:type="dxa"/>
            <w:noWrap w:val="0"/>
            <w:vAlign w:val="top"/>
          </w:tcPr>
          <w:p>
            <w:pPr>
              <w:pStyle w:val="20"/>
              <w:ind w:firstLine="0" w:firstLineChars="0"/>
              <w:rPr>
                <w:rFonts w:hint="eastAsia" w:ascii="宋体" w:hAnsi="宋体" w:eastAsia="宋体" w:cs="宋体"/>
                <w:szCs w:val="21"/>
              </w:rPr>
            </w:pPr>
          </w:p>
        </w:tc>
        <w:tc>
          <w:tcPr>
            <w:tcW w:w="1169" w:type="dxa"/>
            <w:noWrap w:val="0"/>
            <w:vAlign w:val="top"/>
          </w:tcPr>
          <w:p>
            <w:pPr>
              <w:pStyle w:val="20"/>
              <w:ind w:firstLine="0" w:firstLineChars="0"/>
              <w:rPr>
                <w:rFonts w:hint="eastAsia" w:ascii="宋体" w:hAnsi="宋体" w:eastAsia="宋体" w:cs="宋体"/>
                <w:szCs w:val="21"/>
              </w:rPr>
            </w:pPr>
          </w:p>
        </w:tc>
        <w:tc>
          <w:tcPr>
            <w:tcW w:w="1703" w:type="dxa"/>
            <w:noWrap w:val="0"/>
            <w:vAlign w:val="top"/>
          </w:tcPr>
          <w:p>
            <w:pPr>
              <w:pStyle w:val="20"/>
              <w:ind w:firstLine="0" w:firstLineChars="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31" w:type="dxa"/>
            <w:noWrap w:val="0"/>
            <w:vAlign w:val="top"/>
          </w:tcPr>
          <w:p>
            <w:pPr>
              <w:pStyle w:val="20"/>
              <w:ind w:firstLine="0" w:firstLineChars="0"/>
              <w:rPr>
                <w:rFonts w:hint="eastAsia" w:ascii="宋体" w:hAnsi="宋体" w:eastAsia="宋体" w:cs="宋体"/>
                <w:szCs w:val="21"/>
              </w:rPr>
            </w:pPr>
          </w:p>
        </w:tc>
        <w:tc>
          <w:tcPr>
            <w:tcW w:w="2166" w:type="dxa"/>
            <w:noWrap w:val="0"/>
            <w:vAlign w:val="top"/>
          </w:tcPr>
          <w:p>
            <w:pPr>
              <w:pStyle w:val="20"/>
              <w:ind w:firstLine="0" w:firstLineChars="0"/>
              <w:rPr>
                <w:rFonts w:hint="eastAsia" w:ascii="宋体" w:hAnsi="宋体" w:eastAsia="宋体" w:cs="宋体"/>
                <w:szCs w:val="21"/>
              </w:rPr>
            </w:pPr>
          </w:p>
        </w:tc>
        <w:tc>
          <w:tcPr>
            <w:tcW w:w="1356" w:type="dxa"/>
            <w:noWrap w:val="0"/>
            <w:vAlign w:val="top"/>
          </w:tcPr>
          <w:p>
            <w:pPr>
              <w:pStyle w:val="20"/>
              <w:ind w:firstLine="0" w:firstLineChars="0"/>
              <w:rPr>
                <w:rFonts w:hint="eastAsia" w:ascii="宋体" w:hAnsi="宋体" w:eastAsia="宋体" w:cs="宋体"/>
                <w:szCs w:val="21"/>
              </w:rPr>
            </w:pPr>
          </w:p>
        </w:tc>
        <w:tc>
          <w:tcPr>
            <w:tcW w:w="1033" w:type="dxa"/>
            <w:noWrap w:val="0"/>
            <w:vAlign w:val="top"/>
          </w:tcPr>
          <w:p>
            <w:pPr>
              <w:pStyle w:val="20"/>
              <w:ind w:firstLine="0" w:firstLineChars="0"/>
              <w:rPr>
                <w:rFonts w:hint="eastAsia" w:ascii="宋体" w:hAnsi="宋体" w:eastAsia="宋体" w:cs="宋体"/>
                <w:szCs w:val="21"/>
              </w:rPr>
            </w:pPr>
          </w:p>
        </w:tc>
        <w:tc>
          <w:tcPr>
            <w:tcW w:w="1169" w:type="dxa"/>
            <w:noWrap w:val="0"/>
            <w:vAlign w:val="top"/>
          </w:tcPr>
          <w:p>
            <w:pPr>
              <w:pStyle w:val="20"/>
              <w:ind w:firstLine="0" w:firstLineChars="0"/>
              <w:rPr>
                <w:rFonts w:hint="eastAsia" w:ascii="宋体" w:hAnsi="宋体" w:eastAsia="宋体" w:cs="宋体"/>
                <w:szCs w:val="21"/>
              </w:rPr>
            </w:pPr>
          </w:p>
        </w:tc>
        <w:tc>
          <w:tcPr>
            <w:tcW w:w="1703" w:type="dxa"/>
            <w:noWrap w:val="0"/>
            <w:vAlign w:val="top"/>
          </w:tcPr>
          <w:p>
            <w:pPr>
              <w:pStyle w:val="20"/>
              <w:ind w:firstLine="0" w:firstLineChars="0"/>
              <w:rPr>
                <w:rFonts w:hint="eastAsia" w:ascii="宋体" w:hAnsi="宋体" w:eastAsia="宋体" w:cs="宋体"/>
                <w:szCs w:val="21"/>
              </w:rPr>
            </w:pPr>
          </w:p>
        </w:tc>
      </w:tr>
    </w:tbl>
    <w:p>
      <w:pPr>
        <w:spacing w:line="360" w:lineRule="auto"/>
        <w:ind w:firstLine="241" w:firstLineChars="100"/>
        <w:rPr>
          <w:rFonts w:hint="eastAsia" w:ascii="宋体" w:hAnsi="宋体" w:eastAsia="宋体" w:cs="宋体"/>
          <w:sz w:val="24"/>
          <w:lang w:val="zh-CN"/>
        </w:rPr>
      </w:pPr>
      <w:r>
        <w:rPr>
          <w:rFonts w:hint="eastAsia" w:ascii="宋体" w:hAnsi="宋体" w:eastAsia="宋体" w:cs="宋体"/>
          <w:sz w:val="24"/>
          <w:lang w:val="zh-CN"/>
        </w:rPr>
        <w:t>注：此表可以按相同格式扩展，仅限于国内近三年的同类业绩。</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lang w:val="zh-CN"/>
        </w:rPr>
      </w:pPr>
    </w:p>
    <w:p>
      <w:pPr>
        <w:spacing w:line="360" w:lineRule="auto"/>
        <w:rPr>
          <w:rFonts w:hint="eastAsia" w:ascii="宋体" w:hAnsi="宋体" w:eastAsia="宋体" w:cs="宋体"/>
          <w:sz w:val="24"/>
          <w:u w:val="single"/>
        </w:rPr>
      </w:pPr>
      <w:r>
        <w:rPr>
          <w:rFonts w:hint="eastAsia" w:ascii="宋体" w:hAnsi="宋体" w:eastAsia="宋体" w:cs="宋体"/>
          <w:sz w:val="24"/>
        </w:rPr>
        <w:t>供应商</w:t>
      </w:r>
      <w:r>
        <w:rPr>
          <w:rFonts w:hint="eastAsia" w:ascii="宋体" w:hAnsi="宋体" w:eastAsia="宋体" w:cs="宋体"/>
          <w:sz w:val="24"/>
          <w:lang w:val="zh-CN"/>
        </w:rPr>
        <w:t>名称（</w:t>
      </w:r>
      <w:r>
        <w:rPr>
          <w:rFonts w:hint="eastAsia" w:ascii="宋体" w:hAnsi="宋体" w:eastAsia="宋体" w:cs="宋体"/>
          <w:sz w:val="24"/>
        </w:rPr>
        <w:t>盖单位章</w:t>
      </w:r>
      <w:r>
        <w:rPr>
          <w:rFonts w:hint="eastAsia" w:ascii="宋体" w:hAnsi="宋体" w:eastAsia="宋体" w:cs="宋体"/>
          <w:sz w:val="24"/>
          <w:lang w:val="zh-CN"/>
        </w:rPr>
        <w:t>）：</w:t>
      </w:r>
    </w:p>
    <w:p>
      <w:pPr>
        <w:spacing w:line="360" w:lineRule="auto"/>
        <w:rPr>
          <w:rFonts w:hint="eastAsia" w:ascii="宋体" w:hAnsi="宋体" w:eastAsia="宋体" w:cs="宋体"/>
          <w:sz w:val="24"/>
          <w:lang w:val="zh-CN"/>
        </w:rPr>
      </w:pPr>
      <w:r>
        <w:rPr>
          <w:rFonts w:hint="eastAsia" w:ascii="宋体" w:hAnsi="宋体" w:eastAsia="宋体" w:cs="宋体"/>
          <w:sz w:val="24"/>
          <w:lang w:val="zh-CN"/>
        </w:rPr>
        <w:t xml:space="preserve">法定代表人或其授权代表（签字或盖章）： </w:t>
      </w:r>
    </w:p>
    <w:p>
      <w:pPr>
        <w:spacing w:line="360" w:lineRule="auto"/>
        <w:rPr>
          <w:rFonts w:hint="eastAsia" w:ascii="宋体" w:hAnsi="宋体" w:eastAsia="宋体" w:cs="宋体"/>
          <w:sz w:val="24"/>
          <w:lang w:val="zh-CN"/>
        </w:rPr>
      </w:pPr>
      <w:r>
        <w:rPr>
          <w:rFonts w:hint="eastAsia" w:ascii="宋体" w:hAnsi="宋体" w:eastAsia="宋体" w:cs="宋体"/>
          <w:sz w:val="24"/>
          <w:lang w:val="zh-CN"/>
        </w:rPr>
        <w:t>日期：年月日</w:t>
      </w:r>
    </w:p>
    <w:p>
      <w:pPr>
        <w:rPr>
          <w:rFonts w:hint="eastAsia" w:ascii="宋体" w:hAnsi="宋体" w:eastAsia="宋体" w:cs="宋体"/>
          <w:sz w:val="24"/>
          <w:lang w:val="zh-CN"/>
        </w:rPr>
      </w:pPr>
      <w:r>
        <w:rPr>
          <w:rFonts w:hint="eastAsia" w:ascii="宋体" w:hAnsi="宋体" w:eastAsia="宋体" w:cs="宋体"/>
          <w:sz w:val="24"/>
          <w:lang w:val="zh-CN"/>
        </w:rPr>
        <w:br w:type="page"/>
      </w:r>
    </w:p>
    <w:p>
      <w:pPr>
        <w:pStyle w:val="12"/>
        <w:numPr>
          <w:ilvl w:val="0"/>
          <w:numId w:val="29"/>
        </w:numPr>
        <w:jc w:val="center"/>
        <w:outlineLvl w:val="0"/>
        <w:rPr>
          <w:rFonts w:hint="eastAsia" w:ascii="宋体" w:hAnsi="宋体" w:eastAsia="宋体" w:cs="宋体"/>
          <w:b/>
          <w:sz w:val="30"/>
          <w:szCs w:val="30"/>
          <w:lang w:val="en-US" w:eastAsia="zh-CN"/>
        </w:rPr>
      </w:pPr>
      <w:r>
        <w:rPr>
          <w:rFonts w:hint="eastAsia" w:ascii="宋体" w:hAnsi="宋体" w:eastAsia="宋体" w:cs="宋体"/>
          <w:b/>
          <w:sz w:val="30"/>
          <w:szCs w:val="30"/>
          <w:lang w:val="en-US" w:eastAsia="zh-CN"/>
        </w:rPr>
        <w:t>商务偏离表</w:t>
      </w:r>
    </w:p>
    <w:tbl>
      <w:tblPr>
        <w:tblStyle w:val="23"/>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1890"/>
        <w:gridCol w:w="2250"/>
        <w:gridCol w:w="2060"/>
        <w:gridCol w:w="1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56" w:type="dxa"/>
            <w:vMerge w:val="restart"/>
            <w:vAlign w:val="center"/>
          </w:tcPr>
          <w:p>
            <w:pPr>
              <w:pStyle w:val="11"/>
              <w:numPr>
                <w:ilvl w:val="0"/>
                <w:numId w:val="0"/>
              </w:numPr>
              <w:jc w:val="center"/>
              <w:rPr>
                <w:rFonts w:hint="default"/>
                <w:vertAlign w:val="baseline"/>
                <w:lang w:val="en-US" w:eastAsia="zh-CN"/>
              </w:rPr>
            </w:pPr>
            <w:r>
              <w:rPr>
                <w:rFonts w:hint="eastAsia"/>
                <w:vertAlign w:val="baseline"/>
                <w:lang w:val="en-US" w:eastAsia="zh-CN"/>
              </w:rPr>
              <w:t>序号</w:t>
            </w:r>
          </w:p>
        </w:tc>
        <w:tc>
          <w:tcPr>
            <w:tcW w:w="4140" w:type="dxa"/>
            <w:gridSpan w:val="2"/>
            <w:vAlign w:val="center"/>
          </w:tcPr>
          <w:p>
            <w:pPr>
              <w:pStyle w:val="11"/>
              <w:numPr>
                <w:ilvl w:val="0"/>
                <w:numId w:val="0"/>
              </w:numPr>
              <w:jc w:val="center"/>
              <w:rPr>
                <w:rFonts w:hint="default"/>
                <w:vertAlign w:val="baseline"/>
                <w:lang w:val="en-US" w:eastAsia="zh-CN"/>
              </w:rPr>
            </w:pPr>
            <w:r>
              <w:rPr>
                <w:rFonts w:hint="eastAsia"/>
                <w:vertAlign w:val="baseline"/>
                <w:lang w:val="en-US" w:eastAsia="zh-CN"/>
              </w:rPr>
              <w:t>采购文件条款</w:t>
            </w:r>
          </w:p>
        </w:tc>
        <w:tc>
          <w:tcPr>
            <w:tcW w:w="3874" w:type="dxa"/>
            <w:gridSpan w:val="2"/>
            <w:vAlign w:val="center"/>
          </w:tcPr>
          <w:p>
            <w:pPr>
              <w:pStyle w:val="11"/>
              <w:numPr>
                <w:ilvl w:val="0"/>
                <w:numId w:val="0"/>
              </w:numPr>
              <w:jc w:val="center"/>
              <w:rPr>
                <w:rFonts w:hint="default"/>
                <w:vertAlign w:val="baseline"/>
                <w:lang w:val="en-US" w:eastAsia="zh-CN"/>
              </w:rPr>
            </w:pPr>
            <w:r>
              <w:rPr>
                <w:rFonts w:hint="eastAsia"/>
                <w:vertAlign w:val="baseline"/>
                <w:lang w:val="en-US" w:eastAsia="zh-CN"/>
              </w:rPr>
              <w:t>响应文件条款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56" w:type="dxa"/>
            <w:vMerge w:val="continue"/>
            <w:vAlign w:val="center"/>
          </w:tcPr>
          <w:p>
            <w:pPr>
              <w:pStyle w:val="11"/>
              <w:numPr>
                <w:ilvl w:val="0"/>
                <w:numId w:val="0"/>
              </w:numPr>
              <w:jc w:val="center"/>
              <w:rPr>
                <w:rFonts w:hint="default"/>
                <w:vertAlign w:val="baseline"/>
                <w:lang w:val="en-US" w:eastAsia="zh-CN"/>
              </w:rPr>
            </w:pPr>
          </w:p>
        </w:tc>
        <w:tc>
          <w:tcPr>
            <w:tcW w:w="1890" w:type="dxa"/>
            <w:vAlign w:val="center"/>
          </w:tcPr>
          <w:p>
            <w:pPr>
              <w:pStyle w:val="11"/>
              <w:numPr>
                <w:ilvl w:val="0"/>
                <w:numId w:val="0"/>
              </w:numPr>
              <w:jc w:val="center"/>
              <w:rPr>
                <w:rFonts w:hint="default"/>
                <w:vertAlign w:val="baseline"/>
                <w:lang w:val="en-US" w:eastAsia="zh-CN"/>
              </w:rPr>
            </w:pPr>
            <w:r>
              <w:rPr>
                <w:rFonts w:hint="eastAsia"/>
                <w:vertAlign w:val="baseline"/>
                <w:lang w:val="en-US" w:eastAsia="zh-CN"/>
              </w:rPr>
              <w:t>条款号</w:t>
            </w:r>
          </w:p>
        </w:tc>
        <w:tc>
          <w:tcPr>
            <w:tcW w:w="2250" w:type="dxa"/>
            <w:vAlign w:val="center"/>
          </w:tcPr>
          <w:p>
            <w:pPr>
              <w:pStyle w:val="11"/>
              <w:numPr>
                <w:ilvl w:val="0"/>
                <w:numId w:val="0"/>
              </w:numPr>
              <w:jc w:val="center"/>
              <w:rPr>
                <w:rFonts w:hint="default"/>
                <w:vertAlign w:val="baseline"/>
                <w:lang w:val="en-US" w:eastAsia="zh-CN"/>
              </w:rPr>
            </w:pPr>
            <w:r>
              <w:rPr>
                <w:rFonts w:hint="eastAsia"/>
                <w:vertAlign w:val="baseline"/>
                <w:lang w:val="en-US" w:eastAsia="zh-CN"/>
              </w:rPr>
              <w:t>条款内容</w:t>
            </w:r>
          </w:p>
        </w:tc>
        <w:tc>
          <w:tcPr>
            <w:tcW w:w="2060" w:type="dxa"/>
            <w:vAlign w:val="center"/>
          </w:tcPr>
          <w:p>
            <w:pPr>
              <w:pStyle w:val="11"/>
              <w:numPr>
                <w:ilvl w:val="0"/>
                <w:numId w:val="0"/>
              </w:numPr>
              <w:ind w:left="0" w:leftChars="0" w:firstLine="0" w:firstLineChars="0"/>
              <w:jc w:val="center"/>
              <w:rPr>
                <w:rFonts w:hint="default"/>
                <w:vertAlign w:val="baseline"/>
                <w:lang w:val="en-US" w:eastAsia="zh-CN"/>
              </w:rPr>
            </w:pPr>
            <w:r>
              <w:rPr>
                <w:rFonts w:hint="eastAsia"/>
                <w:vertAlign w:val="baseline"/>
                <w:lang w:val="en-US" w:eastAsia="zh-CN"/>
              </w:rPr>
              <w:t>条款号</w:t>
            </w:r>
          </w:p>
        </w:tc>
        <w:tc>
          <w:tcPr>
            <w:tcW w:w="1814" w:type="dxa"/>
            <w:vAlign w:val="center"/>
          </w:tcPr>
          <w:p>
            <w:pPr>
              <w:pStyle w:val="11"/>
              <w:numPr>
                <w:ilvl w:val="0"/>
                <w:numId w:val="0"/>
              </w:numPr>
              <w:ind w:left="0" w:leftChars="0" w:firstLine="0" w:firstLineChars="0"/>
              <w:jc w:val="center"/>
              <w:rPr>
                <w:rFonts w:hint="default"/>
                <w:vertAlign w:val="baseline"/>
                <w:lang w:val="en-US" w:eastAsia="zh-CN"/>
              </w:rPr>
            </w:pPr>
            <w:r>
              <w:rPr>
                <w:rFonts w:hint="eastAsia"/>
                <w:vertAlign w:val="baseline"/>
                <w:lang w:val="en-US" w:eastAsia="zh-CN"/>
              </w:rPr>
              <w:t>条款内容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56" w:type="dxa"/>
            <w:vAlign w:val="center"/>
          </w:tcPr>
          <w:p>
            <w:pPr>
              <w:pStyle w:val="11"/>
              <w:numPr>
                <w:ilvl w:val="0"/>
                <w:numId w:val="0"/>
              </w:numPr>
              <w:jc w:val="center"/>
              <w:rPr>
                <w:rFonts w:hint="default"/>
                <w:vertAlign w:val="baseline"/>
                <w:lang w:val="en-US" w:eastAsia="zh-CN"/>
              </w:rPr>
            </w:pPr>
            <w:r>
              <w:rPr>
                <w:rFonts w:hint="eastAsia"/>
                <w:vertAlign w:val="baseline"/>
                <w:lang w:val="en-US" w:eastAsia="zh-CN"/>
              </w:rPr>
              <w:t>1</w:t>
            </w:r>
          </w:p>
        </w:tc>
        <w:tc>
          <w:tcPr>
            <w:tcW w:w="1890" w:type="dxa"/>
            <w:vAlign w:val="center"/>
          </w:tcPr>
          <w:p>
            <w:pPr>
              <w:pStyle w:val="11"/>
              <w:numPr>
                <w:ilvl w:val="0"/>
                <w:numId w:val="0"/>
              </w:numPr>
              <w:jc w:val="center"/>
              <w:rPr>
                <w:rFonts w:hint="default"/>
                <w:vertAlign w:val="baseline"/>
                <w:lang w:val="en-US" w:eastAsia="zh-CN"/>
              </w:rPr>
            </w:pPr>
          </w:p>
        </w:tc>
        <w:tc>
          <w:tcPr>
            <w:tcW w:w="2250" w:type="dxa"/>
            <w:vAlign w:val="center"/>
          </w:tcPr>
          <w:p>
            <w:pPr>
              <w:pStyle w:val="11"/>
              <w:numPr>
                <w:ilvl w:val="0"/>
                <w:numId w:val="0"/>
              </w:numPr>
              <w:jc w:val="center"/>
              <w:rPr>
                <w:rFonts w:hint="default"/>
                <w:vertAlign w:val="baseline"/>
                <w:lang w:val="en-US" w:eastAsia="zh-CN"/>
              </w:rPr>
            </w:pPr>
          </w:p>
        </w:tc>
        <w:tc>
          <w:tcPr>
            <w:tcW w:w="2060" w:type="dxa"/>
            <w:vAlign w:val="center"/>
          </w:tcPr>
          <w:p>
            <w:pPr>
              <w:pStyle w:val="11"/>
              <w:numPr>
                <w:ilvl w:val="0"/>
                <w:numId w:val="0"/>
              </w:numPr>
              <w:jc w:val="center"/>
              <w:rPr>
                <w:rFonts w:hint="default"/>
                <w:vertAlign w:val="baseline"/>
                <w:lang w:val="en-US" w:eastAsia="zh-CN"/>
              </w:rPr>
            </w:pPr>
          </w:p>
        </w:tc>
        <w:tc>
          <w:tcPr>
            <w:tcW w:w="1814" w:type="dxa"/>
            <w:vAlign w:val="center"/>
          </w:tcPr>
          <w:p>
            <w:pPr>
              <w:pStyle w:val="11"/>
              <w:numPr>
                <w:ilvl w:val="0"/>
                <w:numId w:val="0"/>
              </w:num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56" w:type="dxa"/>
            <w:vAlign w:val="center"/>
          </w:tcPr>
          <w:p>
            <w:pPr>
              <w:pStyle w:val="11"/>
              <w:numPr>
                <w:ilvl w:val="0"/>
                <w:numId w:val="0"/>
              </w:numPr>
              <w:jc w:val="center"/>
              <w:rPr>
                <w:rFonts w:hint="default"/>
                <w:vertAlign w:val="baseline"/>
                <w:lang w:val="en-US" w:eastAsia="zh-CN"/>
              </w:rPr>
            </w:pPr>
            <w:r>
              <w:rPr>
                <w:rFonts w:hint="eastAsia"/>
                <w:vertAlign w:val="baseline"/>
                <w:lang w:val="en-US" w:eastAsia="zh-CN"/>
              </w:rPr>
              <w:t>2</w:t>
            </w:r>
          </w:p>
        </w:tc>
        <w:tc>
          <w:tcPr>
            <w:tcW w:w="1890" w:type="dxa"/>
            <w:vAlign w:val="center"/>
          </w:tcPr>
          <w:p>
            <w:pPr>
              <w:pStyle w:val="11"/>
              <w:numPr>
                <w:ilvl w:val="0"/>
                <w:numId w:val="0"/>
              </w:numPr>
              <w:jc w:val="center"/>
              <w:rPr>
                <w:rFonts w:hint="default"/>
                <w:vertAlign w:val="baseline"/>
                <w:lang w:val="en-US" w:eastAsia="zh-CN"/>
              </w:rPr>
            </w:pPr>
          </w:p>
        </w:tc>
        <w:tc>
          <w:tcPr>
            <w:tcW w:w="2250" w:type="dxa"/>
            <w:vAlign w:val="center"/>
          </w:tcPr>
          <w:p>
            <w:pPr>
              <w:pStyle w:val="11"/>
              <w:numPr>
                <w:ilvl w:val="0"/>
                <w:numId w:val="0"/>
              </w:numPr>
              <w:jc w:val="center"/>
              <w:rPr>
                <w:rFonts w:hint="default"/>
                <w:vertAlign w:val="baseline"/>
                <w:lang w:val="en-US" w:eastAsia="zh-CN"/>
              </w:rPr>
            </w:pPr>
          </w:p>
        </w:tc>
        <w:tc>
          <w:tcPr>
            <w:tcW w:w="2060" w:type="dxa"/>
            <w:vAlign w:val="center"/>
          </w:tcPr>
          <w:p>
            <w:pPr>
              <w:pStyle w:val="11"/>
              <w:numPr>
                <w:ilvl w:val="0"/>
                <w:numId w:val="0"/>
              </w:numPr>
              <w:jc w:val="center"/>
              <w:rPr>
                <w:rFonts w:hint="default"/>
                <w:vertAlign w:val="baseline"/>
                <w:lang w:val="en-US" w:eastAsia="zh-CN"/>
              </w:rPr>
            </w:pPr>
          </w:p>
        </w:tc>
        <w:tc>
          <w:tcPr>
            <w:tcW w:w="1814" w:type="dxa"/>
            <w:vAlign w:val="center"/>
          </w:tcPr>
          <w:p>
            <w:pPr>
              <w:pStyle w:val="11"/>
              <w:numPr>
                <w:ilvl w:val="0"/>
                <w:numId w:val="0"/>
              </w:num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56" w:type="dxa"/>
            <w:vAlign w:val="center"/>
          </w:tcPr>
          <w:p>
            <w:pPr>
              <w:pStyle w:val="11"/>
              <w:numPr>
                <w:ilvl w:val="0"/>
                <w:numId w:val="0"/>
              </w:numPr>
              <w:jc w:val="center"/>
              <w:rPr>
                <w:rFonts w:hint="default"/>
                <w:vertAlign w:val="baseline"/>
                <w:lang w:val="en-US" w:eastAsia="zh-CN"/>
              </w:rPr>
            </w:pPr>
            <w:r>
              <w:rPr>
                <w:rFonts w:hint="eastAsia"/>
                <w:vertAlign w:val="baseline"/>
                <w:lang w:val="en-US" w:eastAsia="zh-CN"/>
              </w:rPr>
              <w:t>3</w:t>
            </w:r>
          </w:p>
        </w:tc>
        <w:tc>
          <w:tcPr>
            <w:tcW w:w="1890" w:type="dxa"/>
            <w:vAlign w:val="center"/>
          </w:tcPr>
          <w:p>
            <w:pPr>
              <w:pStyle w:val="11"/>
              <w:numPr>
                <w:ilvl w:val="0"/>
                <w:numId w:val="0"/>
              </w:numPr>
              <w:jc w:val="center"/>
              <w:rPr>
                <w:rFonts w:hint="default"/>
                <w:vertAlign w:val="baseline"/>
                <w:lang w:val="en-US" w:eastAsia="zh-CN"/>
              </w:rPr>
            </w:pPr>
          </w:p>
        </w:tc>
        <w:tc>
          <w:tcPr>
            <w:tcW w:w="2250" w:type="dxa"/>
            <w:vAlign w:val="center"/>
          </w:tcPr>
          <w:p>
            <w:pPr>
              <w:pStyle w:val="11"/>
              <w:numPr>
                <w:ilvl w:val="0"/>
                <w:numId w:val="0"/>
              </w:numPr>
              <w:jc w:val="center"/>
              <w:rPr>
                <w:rFonts w:hint="default"/>
                <w:vertAlign w:val="baseline"/>
                <w:lang w:val="en-US" w:eastAsia="zh-CN"/>
              </w:rPr>
            </w:pPr>
          </w:p>
        </w:tc>
        <w:tc>
          <w:tcPr>
            <w:tcW w:w="2060" w:type="dxa"/>
            <w:vAlign w:val="center"/>
          </w:tcPr>
          <w:p>
            <w:pPr>
              <w:pStyle w:val="11"/>
              <w:numPr>
                <w:ilvl w:val="0"/>
                <w:numId w:val="0"/>
              </w:numPr>
              <w:jc w:val="center"/>
              <w:rPr>
                <w:rFonts w:hint="default"/>
                <w:vertAlign w:val="baseline"/>
                <w:lang w:val="en-US" w:eastAsia="zh-CN"/>
              </w:rPr>
            </w:pPr>
          </w:p>
        </w:tc>
        <w:tc>
          <w:tcPr>
            <w:tcW w:w="1814" w:type="dxa"/>
            <w:vAlign w:val="center"/>
          </w:tcPr>
          <w:p>
            <w:pPr>
              <w:pStyle w:val="11"/>
              <w:numPr>
                <w:ilvl w:val="0"/>
                <w:numId w:val="0"/>
              </w:num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56" w:type="dxa"/>
            <w:vAlign w:val="center"/>
          </w:tcPr>
          <w:p>
            <w:pPr>
              <w:pStyle w:val="11"/>
              <w:numPr>
                <w:ilvl w:val="0"/>
                <w:numId w:val="0"/>
              </w:numPr>
              <w:jc w:val="center"/>
              <w:rPr>
                <w:rFonts w:hint="default"/>
                <w:vertAlign w:val="baseline"/>
                <w:lang w:val="en-US" w:eastAsia="zh-CN"/>
              </w:rPr>
            </w:pPr>
            <w:r>
              <w:rPr>
                <w:rFonts w:hint="eastAsia"/>
                <w:vertAlign w:val="baseline"/>
                <w:lang w:val="en-US" w:eastAsia="zh-CN"/>
              </w:rPr>
              <w:t>4</w:t>
            </w:r>
          </w:p>
        </w:tc>
        <w:tc>
          <w:tcPr>
            <w:tcW w:w="1890" w:type="dxa"/>
            <w:vAlign w:val="center"/>
          </w:tcPr>
          <w:p>
            <w:pPr>
              <w:pStyle w:val="11"/>
              <w:numPr>
                <w:ilvl w:val="0"/>
                <w:numId w:val="0"/>
              </w:numPr>
              <w:jc w:val="center"/>
              <w:rPr>
                <w:rFonts w:hint="default"/>
                <w:vertAlign w:val="baseline"/>
                <w:lang w:val="en-US" w:eastAsia="zh-CN"/>
              </w:rPr>
            </w:pPr>
          </w:p>
        </w:tc>
        <w:tc>
          <w:tcPr>
            <w:tcW w:w="2250" w:type="dxa"/>
            <w:vAlign w:val="center"/>
          </w:tcPr>
          <w:p>
            <w:pPr>
              <w:pStyle w:val="11"/>
              <w:numPr>
                <w:ilvl w:val="0"/>
                <w:numId w:val="0"/>
              </w:numPr>
              <w:jc w:val="center"/>
              <w:rPr>
                <w:rFonts w:hint="default"/>
                <w:vertAlign w:val="baseline"/>
                <w:lang w:val="en-US" w:eastAsia="zh-CN"/>
              </w:rPr>
            </w:pPr>
          </w:p>
        </w:tc>
        <w:tc>
          <w:tcPr>
            <w:tcW w:w="2060" w:type="dxa"/>
            <w:vAlign w:val="center"/>
          </w:tcPr>
          <w:p>
            <w:pPr>
              <w:pStyle w:val="11"/>
              <w:numPr>
                <w:ilvl w:val="0"/>
                <w:numId w:val="0"/>
              </w:numPr>
              <w:jc w:val="center"/>
              <w:rPr>
                <w:rFonts w:hint="default"/>
                <w:vertAlign w:val="baseline"/>
                <w:lang w:val="en-US" w:eastAsia="zh-CN"/>
              </w:rPr>
            </w:pPr>
          </w:p>
        </w:tc>
        <w:tc>
          <w:tcPr>
            <w:tcW w:w="1814" w:type="dxa"/>
            <w:vAlign w:val="center"/>
          </w:tcPr>
          <w:p>
            <w:pPr>
              <w:pStyle w:val="11"/>
              <w:numPr>
                <w:ilvl w:val="0"/>
                <w:numId w:val="0"/>
              </w:num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56" w:type="dxa"/>
            <w:vAlign w:val="center"/>
          </w:tcPr>
          <w:p>
            <w:pPr>
              <w:pStyle w:val="11"/>
              <w:numPr>
                <w:ilvl w:val="0"/>
                <w:numId w:val="0"/>
              </w:numPr>
              <w:jc w:val="center"/>
              <w:rPr>
                <w:rFonts w:hint="default"/>
                <w:vertAlign w:val="baseline"/>
                <w:lang w:val="en-US" w:eastAsia="zh-CN"/>
              </w:rPr>
            </w:pPr>
            <w:r>
              <w:rPr>
                <w:rFonts w:hint="eastAsia"/>
                <w:vertAlign w:val="baseline"/>
                <w:lang w:val="en-US" w:eastAsia="zh-CN"/>
              </w:rPr>
              <w:t>....</w:t>
            </w:r>
          </w:p>
        </w:tc>
        <w:tc>
          <w:tcPr>
            <w:tcW w:w="1890" w:type="dxa"/>
            <w:vAlign w:val="center"/>
          </w:tcPr>
          <w:p>
            <w:pPr>
              <w:pStyle w:val="11"/>
              <w:numPr>
                <w:ilvl w:val="0"/>
                <w:numId w:val="0"/>
              </w:numPr>
              <w:jc w:val="center"/>
              <w:rPr>
                <w:rFonts w:hint="default"/>
                <w:vertAlign w:val="baseline"/>
                <w:lang w:val="en-US" w:eastAsia="zh-CN"/>
              </w:rPr>
            </w:pPr>
          </w:p>
        </w:tc>
        <w:tc>
          <w:tcPr>
            <w:tcW w:w="2250" w:type="dxa"/>
            <w:vAlign w:val="center"/>
          </w:tcPr>
          <w:p>
            <w:pPr>
              <w:pStyle w:val="11"/>
              <w:numPr>
                <w:ilvl w:val="0"/>
                <w:numId w:val="0"/>
              </w:numPr>
              <w:jc w:val="center"/>
              <w:rPr>
                <w:rFonts w:hint="default"/>
                <w:vertAlign w:val="baseline"/>
                <w:lang w:val="en-US" w:eastAsia="zh-CN"/>
              </w:rPr>
            </w:pPr>
          </w:p>
        </w:tc>
        <w:tc>
          <w:tcPr>
            <w:tcW w:w="2060" w:type="dxa"/>
            <w:vAlign w:val="center"/>
          </w:tcPr>
          <w:p>
            <w:pPr>
              <w:pStyle w:val="11"/>
              <w:numPr>
                <w:ilvl w:val="0"/>
                <w:numId w:val="0"/>
              </w:numPr>
              <w:jc w:val="center"/>
              <w:rPr>
                <w:rFonts w:hint="default"/>
                <w:vertAlign w:val="baseline"/>
                <w:lang w:val="en-US" w:eastAsia="zh-CN"/>
              </w:rPr>
            </w:pPr>
          </w:p>
        </w:tc>
        <w:tc>
          <w:tcPr>
            <w:tcW w:w="1814" w:type="dxa"/>
            <w:vAlign w:val="center"/>
          </w:tcPr>
          <w:p>
            <w:pPr>
              <w:pStyle w:val="11"/>
              <w:numPr>
                <w:ilvl w:val="0"/>
                <w:numId w:val="0"/>
              </w:numPr>
              <w:jc w:val="center"/>
              <w:rPr>
                <w:rFonts w:hint="default"/>
                <w:vertAlign w:val="baseline"/>
                <w:lang w:val="en-US" w:eastAsia="zh-CN"/>
              </w:rPr>
            </w:pPr>
          </w:p>
        </w:tc>
      </w:tr>
    </w:tbl>
    <w:p>
      <w:pPr>
        <w:pStyle w:val="11"/>
        <w:numPr>
          <w:ilvl w:val="0"/>
          <w:numId w:val="0"/>
        </w:numPr>
        <w:rPr>
          <w:rFonts w:hint="default"/>
          <w:lang w:val="en-US" w:eastAsia="zh-CN"/>
        </w:rPr>
      </w:pPr>
    </w:p>
    <w:p>
      <w:pPr>
        <w:spacing w:line="360" w:lineRule="auto"/>
        <w:rPr>
          <w:rFonts w:hint="eastAsia" w:ascii="宋体" w:hAnsi="宋体" w:eastAsia="宋体" w:cs="宋体"/>
          <w:sz w:val="24"/>
          <w:lang w:val="zh-CN"/>
        </w:rPr>
      </w:pPr>
    </w:p>
    <w:p>
      <w:pPr>
        <w:spacing w:line="360" w:lineRule="auto"/>
        <w:rPr>
          <w:rFonts w:hint="eastAsia" w:ascii="宋体" w:hAnsi="宋体" w:eastAsia="宋体" w:cs="宋体"/>
          <w:sz w:val="24"/>
        </w:rPr>
      </w:pPr>
      <w:r>
        <w:rPr>
          <w:rFonts w:hint="eastAsia" w:ascii="宋体" w:hAnsi="宋体" w:eastAsia="宋体" w:cs="宋体"/>
          <w:sz w:val="24"/>
        </w:rPr>
        <w:t>供应商</w:t>
      </w:r>
      <w:r>
        <w:rPr>
          <w:rFonts w:hint="eastAsia" w:ascii="宋体" w:hAnsi="宋体" w:eastAsia="宋体" w:cs="宋体"/>
          <w:sz w:val="24"/>
          <w:lang w:val="zh-CN"/>
        </w:rPr>
        <w:t>名称（</w:t>
      </w:r>
      <w:r>
        <w:rPr>
          <w:rFonts w:hint="eastAsia" w:ascii="宋体" w:hAnsi="宋体" w:eastAsia="宋体" w:cs="宋体"/>
          <w:sz w:val="24"/>
        </w:rPr>
        <w:t>盖单位章</w:t>
      </w:r>
      <w:r>
        <w:rPr>
          <w:rFonts w:hint="eastAsia" w:ascii="宋体" w:hAnsi="宋体" w:eastAsia="宋体" w:cs="宋体"/>
          <w:sz w:val="24"/>
          <w:lang w:val="zh-CN"/>
        </w:rPr>
        <w:t>）：</w:t>
      </w:r>
    </w:p>
    <w:p>
      <w:pPr>
        <w:spacing w:line="360" w:lineRule="auto"/>
        <w:rPr>
          <w:rFonts w:hint="eastAsia" w:ascii="宋体" w:hAnsi="宋体" w:eastAsia="宋体" w:cs="宋体"/>
          <w:sz w:val="24"/>
          <w:lang w:val="zh-CN"/>
        </w:rPr>
      </w:pPr>
      <w:r>
        <w:rPr>
          <w:rFonts w:hint="eastAsia" w:ascii="宋体" w:hAnsi="宋体" w:eastAsia="宋体" w:cs="宋体"/>
          <w:sz w:val="24"/>
          <w:lang w:val="zh-CN"/>
        </w:rPr>
        <w:t xml:space="preserve">法定代表人或其授权代表（签字或盖章）： </w:t>
      </w:r>
    </w:p>
    <w:p>
      <w:pPr>
        <w:spacing w:line="360" w:lineRule="auto"/>
        <w:rPr>
          <w:rFonts w:hint="eastAsia" w:ascii="宋体" w:hAnsi="宋体" w:eastAsia="宋体" w:cs="宋体"/>
          <w:sz w:val="24"/>
          <w:lang w:val="zh-CN"/>
        </w:rPr>
      </w:pPr>
      <w:r>
        <w:rPr>
          <w:rFonts w:hint="eastAsia" w:ascii="宋体" w:hAnsi="宋体" w:eastAsia="宋体" w:cs="宋体"/>
          <w:sz w:val="24"/>
          <w:lang w:val="zh-CN"/>
        </w:rPr>
        <w:t>日期：年月日</w:t>
      </w:r>
    </w:p>
    <w:p>
      <w:pPr>
        <w:spacing w:line="360" w:lineRule="auto"/>
        <w:rPr>
          <w:rFonts w:hint="eastAsia" w:ascii="宋体" w:hAnsi="宋体" w:eastAsia="宋体" w:cs="宋体"/>
          <w:sz w:val="24"/>
        </w:rPr>
      </w:pPr>
      <w:r>
        <w:rPr>
          <w:rFonts w:hint="eastAsia" w:ascii="宋体" w:hAnsi="宋体" w:eastAsia="宋体" w:cs="宋体"/>
          <w:sz w:val="24"/>
        </w:rPr>
        <w:br w:type="page"/>
      </w:r>
    </w:p>
    <w:p>
      <w:pPr>
        <w:pStyle w:val="12"/>
        <w:jc w:val="center"/>
        <w:outlineLvl w:val="0"/>
        <w:rPr>
          <w:rFonts w:hint="eastAsia" w:ascii="宋体" w:hAnsi="宋体" w:eastAsia="宋体" w:cs="宋体"/>
          <w:b/>
          <w:sz w:val="30"/>
          <w:szCs w:val="30"/>
        </w:rPr>
      </w:pPr>
      <w:bookmarkStart w:id="239" w:name="_Toc23363"/>
      <w:r>
        <w:rPr>
          <w:rFonts w:hint="eastAsia" w:hAnsi="宋体" w:cs="宋体"/>
          <w:b/>
          <w:sz w:val="30"/>
          <w:szCs w:val="30"/>
          <w:lang w:val="en-US" w:eastAsia="zh-CN"/>
        </w:rPr>
        <w:t>七</w:t>
      </w:r>
      <w:r>
        <w:rPr>
          <w:rFonts w:hint="eastAsia" w:ascii="宋体" w:hAnsi="宋体" w:eastAsia="宋体" w:cs="宋体"/>
          <w:b/>
          <w:sz w:val="30"/>
          <w:szCs w:val="30"/>
        </w:rPr>
        <w:t>、</w:t>
      </w:r>
      <w:bookmarkEnd w:id="236"/>
      <w:bookmarkEnd w:id="237"/>
      <w:r>
        <w:rPr>
          <w:rFonts w:hint="eastAsia" w:hAnsi="宋体" w:cs="宋体"/>
          <w:b/>
          <w:sz w:val="30"/>
          <w:szCs w:val="30"/>
          <w:lang w:val="en-US" w:eastAsia="zh-CN"/>
        </w:rPr>
        <w:t>技术</w:t>
      </w:r>
      <w:r>
        <w:rPr>
          <w:rFonts w:hint="eastAsia" w:ascii="宋体" w:hAnsi="宋体" w:eastAsia="宋体" w:cs="宋体"/>
          <w:b/>
          <w:sz w:val="30"/>
          <w:szCs w:val="30"/>
        </w:rPr>
        <w:t>方案</w:t>
      </w:r>
      <w:bookmarkEnd w:id="238"/>
      <w:bookmarkEnd w:id="239"/>
    </w:p>
    <w:p>
      <w:pPr>
        <w:pStyle w:val="12"/>
        <w:rPr>
          <w:rFonts w:hint="eastAsia" w:ascii="宋体" w:hAnsi="宋体" w:eastAsia="宋体" w:cs="宋体"/>
          <w:sz w:val="36"/>
          <w:szCs w:val="36"/>
        </w:rPr>
      </w:pPr>
    </w:p>
    <w:p>
      <w:pPr>
        <w:pStyle w:val="12"/>
        <w:rPr>
          <w:rFonts w:hint="eastAsia" w:ascii="宋体" w:hAnsi="宋体" w:eastAsia="宋体" w:cs="宋体"/>
          <w:sz w:val="36"/>
          <w:szCs w:val="36"/>
        </w:rPr>
      </w:pPr>
      <w:r>
        <w:rPr>
          <w:rFonts w:hint="eastAsia" w:ascii="宋体" w:hAnsi="宋体" w:eastAsia="宋体" w:cs="宋体"/>
          <w:sz w:val="36"/>
          <w:szCs w:val="36"/>
        </w:rPr>
        <w:t xml:space="preserve">   （</w:t>
      </w:r>
      <w:r>
        <w:rPr>
          <w:rFonts w:hint="eastAsia" w:ascii="宋体" w:hAnsi="宋体" w:eastAsia="宋体" w:cs="宋体"/>
          <w:sz w:val="36"/>
          <w:szCs w:val="36"/>
          <w:lang w:val="en-US" w:eastAsia="zh-CN"/>
        </w:rPr>
        <w:t>根据评分标准及供应商自身情况进行编制</w:t>
      </w:r>
      <w:r>
        <w:rPr>
          <w:rFonts w:hint="eastAsia" w:ascii="宋体" w:hAnsi="宋体" w:eastAsia="宋体" w:cs="宋体"/>
          <w:sz w:val="36"/>
          <w:szCs w:val="36"/>
        </w:rPr>
        <w:t>）</w:t>
      </w:r>
    </w:p>
    <w:p>
      <w:pPr>
        <w:pStyle w:val="12"/>
        <w:rPr>
          <w:rFonts w:hint="eastAsia" w:ascii="宋体" w:hAnsi="宋体" w:eastAsia="宋体" w:cs="宋体"/>
          <w:sz w:val="36"/>
          <w:szCs w:val="36"/>
        </w:rPr>
      </w:pPr>
    </w:p>
    <w:p>
      <w:pPr>
        <w:pStyle w:val="12"/>
        <w:rPr>
          <w:rFonts w:hint="eastAsia" w:ascii="宋体" w:hAnsi="宋体" w:eastAsia="宋体" w:cs="宋体"/>
          <w:sz w:val="36"/>
          <w:szCs w:val="36"/>
        </w:rPr>
      </w:pPr>
    </w:p>
    <w:bookmarkEnd w:id="222"/>
    <w:bookmarkEnd w:id="223"/>
    <w:bookmarkEnd w:id="224"/>
    <w:bookmarkEnd w:id="225"/>
    <w:bookmarkEnd w:id="226"/>
    <w:bookmarkEnd w:id="227"/>
    <w:bookmarkEnd w:id="228"/>
    <w:bookmarkEnd w:id="229"/>
    <w:bookmarkEnd w:id="230"/>
    <w:bookmarkEnd w:id="231"/>
    <w:p>
      <w:pPr>
        <w:rPr>
          <w:rFonts w:hint="eastAsia" w:ascii="宋体" w:hAnsi="宋体" w:eastAsia="宋体" w:cs="宋体"/>
          <w:b/>
          <w:szCs w:val="21"/>
        </w:rPr>
      </w:pPr>
      <w:bookmarkStart w:id="240" w:name="_Toc7349_WPSOffice_Level1"/>
      <w:bookmarkStart w:id="241" w:name="_Toc469342447"/>
      <w:bookmarkStart w:id="242" w:name="_Toc8748_WPSOffice_Level1"/>
      <w:bookmarkStart w:id="243" w:name="_Toc9578"/>
      <w:bookmarkStart w:id="244" w:name="_Toc457469183"/>
      <w:bookmarkStart w:id="245" w:name="_Toc493842421"/>
      <w:bookmarkStart w:id="246" w:name="_Toc4416_WPSOffice_Level1"/>
      <w:bookmarkStart w:id="247" w:name="_Toc6271_WPSOffice_Level1"/>
      <w:bookmarkStart w:id="248" w:name="_Toc4769_WPSOffice_Level1"/>
      <w:bookmarkStart w:id="249" w:name="_Toc23306_WPSOffice_Level1"/>
      <w:bookmarkStart w:id="250" w:name="_Toc29782_WPSOffice_Level1"/>
      <w:r>
        <w:rPr>
          <w:rFonts w:hint="eastAsia" w:ascii="宋体" w:hAnsi="宋体" w:eastAsia="宋体" w:cs="宋体"/>
          <w:b/>
          <w:szCs w:val="21"/>
        </w:rPr>
        <w:br w:type="page"/>
      </w:r>
    </w:p>
    <w:p>
      <w:pPr>
        <w:keepNext w:val="0"/>
        <w:keepLines w:val="0"/>
        <w:widowControl/>
        <w:suppressLineNumbers w:val="0"/>
        <w:jc w:val="center"/>
        <w:rPr>
          <w:rFonts w:hint="eastAsia" w:ascii="宋体" w:hAnsi="宋体" w:eastAsia="宋体" w:cs="宋体"/>
          <w:sz w:val="24"/>
          <w:szCs w:val="24"/>
          <w:lang w:val="en-US" w:eastAsia="zh-CN"/>
        </w:rPr>
      </w:pPr>
      <w:bookmarkStart w:id="251" w:name="_Toc28224"/>
      <w:bookmarkStart w:id="252" w:name="_Toc1228"/>
      <w:bookmarkStart w:id="253" w:name="_Toc30631"/>
      <w:bookmarkStart w:id="254" w:name="_Toc26472"/>
      <w:r>
        <w:rPr>
          <w:rFonts w:hint="eastAsia" w:cs="宋体"/>
          <w:b/>
          <w:kern w:val="0"/>
          <w:sz w:val="30"/>
          <w:szCs w:val="30"/>
          <w:lang w:val="en-US" w:eastAsia="zh-CN"/>
        </w:rPr>
        <w:t>八</w:t>
      </w:r>
      <w:r>
        <w:rPr>
          <w:rFonts w:hint="eastAsia" w:ascii="宋体" w:hAnsi="宋体" w:eastAsia="宋体" w:cs="宋体"/>
          <w:b/>
          <w:kern w:val="0"/>
          <w:sz w:val="30"/>
          <w:szCs w:val="30"/>
        </w:rPr>
        <w:t>、</w:t>
      </w:r>
      <w:bookmarkEnd w:id="251"/>
      <w:bookmarkEnd w:id="252"/>
      <w:bookmarkEnd w:id="253"/>
      <w:bookmarkEnd w:id="254"/>
      <w:r>
        <w:rPr>
          <w:rFonts w:hint="eastAsia" w:ascii="宋体" w:hAnsi="宋体" w:eastAsia="宋体" w:cs="宋体"/>
          <w:b/>
          <w:bCs/>
          <w:color w:val="000000"/>
          <w:kern w:val="0"/>
          <w:sz w:val="28"/>
          <w:szCs w:val="28"/>
          <w:lang w:val="en-US" w:eastAsia="zh-CN" w:bidi="ar"/>
        </w:rPr>
        <w:t>菏泽市政府采购供应商资格信用承诺函</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我公司自愿参加</w:t>
      </w:r>
      <w:r>
        <w:rPr>
          <w:rFonts w:hint="eastAsia" w:ascii="宋体" w:hAnsi="宋体" w:eastAsia="宋体" w:cs="宋体"/>
          <w:sz w:val="24"/>
          <w:szCs w:val="24"/>
          <w:u w:val="single"/>
          <w:lang w:val="en-US" w:eastAsia="zh-CN"/>
        </w:rPr>
        <w:t xml:space="preserve">          （项目名称） </w:t>
      </w:r>
      <w:r>
        <w:rPr>
          <w:rFonts w:hint="eastAsia" w:ascii="宋体" w:hAnsi="宋体" w:eastAsia="宋体" w:cs="宋体"/>
          <w:sz w:val="24"/>
          <w:szCs w:val="24"/>
          <w:lang w:val="en-US" w:eastAsia="zh-CN"/>
        </w:rPr>
        <w:t xml:space="preserve">政府采购活动,并郑重承诺: 我公司符合下列要求：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(1)具有独立承担民事责任的能力；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(2)具有良好的商业信誉和健全的财务会计制度；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(3)具有履行合同所必需的设备和专业技术能力；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(4)具有依法缴纳税收和社会保障资金的良好记录；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(5)参加政府采购活动(以开启时间为准)前3年内,供应商和其法定代表人无行贿犯罪行为且在经营活动中没有重大违法记录以及本项目开启时未被禁止参加本项目所在地的政府采 购活动的证明材料；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(6)法律、行政法规和采购文件规定的其他条件。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如果我公司中标(成交),将在评审(评标)环节结束后5个工作日内,按采购文件要求,向采购人提供下列材料原件进行核验：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(1)营业执照或事业单位法人登记证书；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(2)税务登记证(接受合一的证书)或者上一年度以来任意一个月缴纳的增值税或营业税或企业所得税的凭据；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(3)参加本次政府采购活动上一年度至今的年度或任意一个月度财务报表（至少包含资产负债表和损益表或预算收入支出表)或供应商结算户银行出具的资信证明；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(4)参加本次政府采购活动上一年度以来任意一个月缴纳社会保险的凭据(专用收据或社会保险缴纳清单)；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(5)其他材料。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本公司对上述承诺的真实性、合法性、有效性负责,如有虚假,将依法承担相应责任。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法定代表人(签章):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社会信用代码: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供应商名称(签章):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年   月   日</w:t>
      </w:r>
    </w:p>
    <w:p>
      <w:pPr>
        <w:spacing w:line="360" w:lineRule="auto"/>
        <w:jc w:val="right"/>
        <w:rPr>
          <w:rFonts w:hint="eastAsia" w:ascii="宋体" w:hAnsi="宋体" w:eastAsia="宋体" w:cs="宋体"/>
          <w:sz w:val="24"/>
        </w:rPr>
      </w:pPr>
    </w:p>
    <w:bookmarkEnd w:id="240"/>
    <w:bookmarkEnd w:id="241"/>
    <w:bookmarkEnd w:id="242"/>
    <w:bookmarkEnd w:id="243"/>
    <w:bookmarkEnd w:id="244"/>
    <w:bookmarkEnd w:id="245"/>
    <w:bookmarkEnd w:id="246"/>
    <w:bookmarkEnd w:id="247"/>
    <w:bookmarkEnd w:id="248"/>
    <w:bookmarkEnd w:id="249"/>
    <w:bookmarkEnd w:id="250"/>
    <w:p>
      <w:pPr>
        <w:pStyle w:val="4"/>
        <w:spacing w:line="600" w:lineRule="exact"/>
        <w:jc w:val="center"/>
        <w:rPr>
          <w:rFonts w:hint="eastAsia" w:ascii="宋体" w:hAnsi="宋体" w:eastAsia="宋体" w:cs="宋体"/>
          <w:sz w:val="30"/>
          <w:szCs w:val="30"/>
        </w:rPr>
      </w:pPr>
      <w:bookmarkStart w:id="255" w:name="_Toc7562_WPSOffice_Level1"/>
      <w:bookmarkStart w:id="256" w:name="_Toc449_WPSOffice_Level1"/>
      <w:bookmarkStart w:id="257" w:name="_Toc10253_WPSOffice_Level1"/>
      <w:r>
        <w:rPr>
          <w:rFonts w:hint="eastAsia" w:ascii="宋体" w:hAnsi="宋体" w:eastAsia="宋体" w:cs="宋体"/>
          <w:sz w:val="30"/>
          <w:szCs w:val="30"/>
        </w:rPr>
        <w:br w:type="page"/>
      </w:r>
      <w:bookmarkStart w:id="258" w:name="_Toc10004"/>
      <w:bookmarkStart w:id="259" w:name="_Toc28021"/>
      <w:bookmarkStart w:id="260" w:name="_Toc25281"/>
      <w:r>
        <w:rPr>
          <w:rFonts w:hint="eastAsia" w:cs="宋体"/>
          <w:sz w:val="30"/>
          <w:szCs w:val="30"/>
          <w:lang w:val="en-US" w:eastAsia="zh-CN"/>
        </w:rPr>
        <w:t>九</w:t>
      </w:r>
      <w:r>
        <w:rPr>
          <w:rFonts w:hint="eastAsia" w:ascii="宋体" w:hAnsi="宋体" w:eastAsia="宋体" w:cs="宋体"/>
          <w:sz w:val="30"/>
          <w:szCs w:val="30"/>
        </w:rPr>
        <w:t>、供应商认为需要提供的其他资料</w:t>
      </w:r>
      <w:bookmarkEnd w:id="258"/>
      <w:bookmarkEnd w:id="259"/>
      <w:bookmarkEnd w:id="260"/>
    </w:p>
    <w:p>
      <w:pPr>
        <w:pStyle w:val="4"/>
        <w:numPr>
          <w:ilvl w:val="0"/>
          <w:numId w:val="0"/>
        </w:numPr>
        <w:spacing w:line="600" w:lineRule="exact"/>
        <w:ind w:leftChars="0"/>
        <w:jc w:val="center"/>
        <w:outlineLvl w:val="0"/>
        <w:rPr>
          <w:rFonts w:hint="eastAsia" w:ascii="宋体" w:hAnsi="宋体" w:eastAsia="宋体" w:cs="宋体"/>
          <w:sz w:val="24"/>
          <w:szCs w:val="24"/>
          <w:lang w:val="en-US" w:eastAsia="zh-CN"/>
        </w:rPr>
      </w:pPr>
      <w:r>
        <w:rPr>
          <w:rFonts w:hint="eastAsia" w:ascii="宋体" w:hAnsi="宋体" w:eastAsia="宋体" w:cs="宋体"/>
          <w:b/>
          <w:sz w:val="30"/>
          <w:szCs w:val="30"/>
        </w:rPr>
        <w:br w:type="page"/>
      </w:r>
      <w:bookmarkStart w:id="261" w:name="_Toc1945"/>
      <w:bookmarkStart w:id="262" w:name="_Toc31503"/>
      <w:bookmarkStart w:id="263" w:name="_Toc22778"/>
      <w:bookmarkStart w:id="264" w:name="_Toc13695"/>
      <w:r>
        <w:rPr>
          <w:rFonts w:hint="eastAsia" w:cs="宋体"/>
          <w:b/>
          <w:sz w:val="30"/>
          <w:szCs w:val="30"/>
          <w:lang w:val="en-US" w:eastAsia="zh-CN"/>
        </w:rPr>
        <w:t>十</w:t>
      </w:r>
      <w:r>
        <w:rPr>
          <w:rFonts w:hint="eastAsia" w:ascii="宋体" w:hAnsi="宋体" w:eastAsia="宋体" w:cs="宋体"/>
          <w:b/>
          <w:sz w:val="30"/>
          <w:szCs w:val="30"/>
        </w:rPr>
        <w:t>、</w:t>
      </w:r>
      <w:bookmarkEnd w:id="255"/>
      <w:bookmarkEnd w:id="256"/>
      <w:bookmarkEnd w:id="257"/>
      <w:bookmarkEnd w:id="261"/>
      <w:bookmarkEnd w:id="262"/>
      <w:bookmarkEnd w:id="263"/>
      <w:bookmarkEnd w:id="264"/>
      <w:r>
        <w:rPr>
          <w:rFonts w:hint="eastAsia" w:ascii="宋体" w:hAnsi="宋体" w:eastAsia="宋体" w:cs="宋体"/>
          <w:b/>
          <w:bCs/>
          <w:sz w:val="24"/>
          <w:szCs w:val="24"/>
        </w:rPr>
        <w:t>中小企业声明函</w:t>
      </w:r>
    </w:p>
    <w:p>
      <w:pPr>
        <w:keepNext w:val="0"/>
        <w:keepLines w:val="0"/>
        <w:widowControl/>
        <w:suppressLineNumbers w:val="0"/>
        <w:spacing w:line="360" w:lineRule="auto"/>
        <w:jc w:val="left"/>
        <w:rPr>
          <w:sz w:val="24"/>
          <w:szCs w:val="24"/>
        </w:rPr>
      </w:pPr>
      <w:r>
        <w:rPr>
          <w:rFonts w:hint="eastAsia" w:ascii="宋体" w:hAnsi="宋体" w:eastAsia="宋体" w:cs="宋体"/>
          <w:color w:val="000000"/>
          <w:kern w:val="0"/>
          <w:sz w:val="24"/>
          <w:szCs w:val="24"/>
          <w:lang w:val="en-US" w:eastAsia="zh-CN" w:bidi="ar"/>
        </w:rPr>
        <w:t xml:space="preserve">本公司（联合体）郑重声明，根据《政府采购促进中小企业发展管理办法》（财库﹝2020﹞46 号）的规定，本公司（联合体）参加（单位名称）的（项目名称） 采购活动，工程的施工单位全部为符合政策要求的中小企业（或者：服务全部由符合政策要求的中小企业承接）。相关企业（含联合体中的中小企业、签订分包意向协议的中小企业）的具体情况如下： </w:t>
      </w:r>
    </w:p>
    <w:p>
      <w:pPr>
        <w:keepNext w:val="0"/>
        <w:keepLines w:val="0"/>
        <w:widowControl/>
        <w:suppressLineNumbers w:val="0"/>
        <w:spacing w:line="360" w:lineRule="auto"/>
        <w:jc w:val="left"/>
        <w:rPr>
          <w:sz w:val="24"/>
          <w:szCs w:val="24"/>
        </w:rPr>
      </w:pPr>
      <w:r>
        <w:rPr>
          <w:rFonts w:hint="eastAsia" w:ascii="宋体" w:hAnsi="宋体" w:eastAsia="宋体" w:cs="宋体"/>
          <w:color w:val="000000"/>
          <w:kern w:val="0"/>
          <w:sz w:val="24"/>
          <w:szCs w:val="24"/>
          <w:lang w:val="en-US" w:eastAsia="zh-CN" w:bidi="ar"/>
        </w:rPr>
        <w:t xml:space="preserve">1. （标的名称），属于 （采购文件中明确的所属行业）；承建（承接）企业为 （企业名称），从业人员 人，营业收入为 万元，资产总额为 万元，属于（中型企业、小型企业、微型企业）； </w:t>
      </w:r>
    </w:p>
    <w:p>
      <w:pPr>
        <w:keepNext w:val="0"/>
        <w:keepLines w:val="0"/>
        <w:widowControl/>
        <w:suppressLineNumbers w:val="0"/>
        <w:spacing w:line="360" w:lineRule="auto"/>
        <w:jc w:val="left"/>
        <w:rPr>
          <w:sz w:val="24"/>
          <w:szCs w:val="24"/>
        </w:rPr>
      </w:pPr>
      <w:r>
        <w:rPr>
          <w:rFonts w:hint="eastAsia" w:ascii="宋体" w:hAnsi="宋体" w:eastAsia="宋体" w:cs="宋体"/>
          <w:color w:val="000000"/>
          <w:kern w:val="0"/>
          <w:sz w:val="24"/>
          <w:szCs w:val="24"/>
          <w:lang w:val="en-US" w:eastAsia="zh-CN" w:bidi="ar"/>
        </w:rPr>
        <w:t xml:space="preserve">2.（标的名称），属于（采购文件中明确的所属行业）行业；制造商为 （企业名称），从业人员 人，营业收入为 万元，资产总额为 万元，属于（中型企业、小型企业、微型企业）； </w:t>
      </w:r>
    </w:p>
    <w:p>
      <w:pPr>
        <w:keepNext w:val="0"/>
        <w:keepLines w:val="0"/>
        <w:widowControl/>
        <w:suppressLineNumbers w:val="0"/>
        <w:spacing w:line="360" w:lineRule="auto"/>
        <w:jc w:val="left"/>
        <w:rPr>
          <w:sz w:val="24"/>
          <w:szCs w:val="24"/>
        </w:rPr>
      </w:pPr>
      <w:r>
        <w:rPr>
          <w:rFonts w:hint="eastAsia" w:ascii="宋体" w:hAnsi="宋体" w:eastAsia="宋体" w:cs="宋体"/>
          <w:color w:val="000000"/>
          <w:kern w:val="0"/>
          <w:sz w:val="24"/>
          <w:szCs w:val="24"/>
          <w:lang w:val="en-US" w:eastAsia="zh-CN" w:bidi="ar"/>
        </w:rPr>
        <w:t xml:space="preserve">…… </w:t>
      </w:r>
    </w:p>
    <w:p>
      <w:pPr>
        <w:keepNext w:val="0"/>
        <w:keepLines w:val="0"/>
        <w:widowControl/>
        <w:suppressLineNumbers w:val="0"/>
        <w:spacing w:line="360" w:lineRule="auto"/>
        <w:jc w:val="left"/>
        <w:rPr>
          <w:sz w:val="24"/>
          <w:szCs w:val="24"/>
        </w:rPr>
      </w:pPr>
      <w:r>
        <w:rPr>
          <w:rFonts w:hint="eastAsia" w:ascii="宋体" w:hAnsi="宋体" w:eastAsia="宋体" w:cs="宋体"/>
          <w:color w:val="000000"/>
          <w:kern w:val="0"/>
          <w:sz w:val="24"/>
          <w:szCs w:val="24"/>
          <w:lang w:val="en-US" w:eastAsia="zh-CN" w:bidi="ar"/>
        </w:rPr>
        <w:t xml:space="preserve">以上企业，不属于大企业的分支机构，不存在控股股东为大企业的情形，也不存在与大企业的负责人为同一人的情形。 </w:t>
      </w:r>
    </w:p>
    <w:p>
      <w:pPr>
        <w:keepNext w:val="0"/>
        <w:keepLines w:val="0"/>
        <w:widowControl/>
        <w:suppressLineNumbers w:val="0"/>
        <w:spacing w:line="360" w:lineRule="auto"/>
        <w:jc w:val="left"/>
        <w:rPr>
          <w:sz w:val="24"/>
          <w:szCs w:val="24"/>
        </w:rPr>
      </w:pPr>
      <w:r>
        <w:rPr>
          <w:rFonts w:hint="eastAsia" w:ascii="宋体" w:hAnsi="宋体" w:eastAsia="宋体" w:cs="宋体"/>
          <w:color w:val="000000"/>
          <w:kern w:val="0"/>
          <w:sz w:val="24"/>
          <w:szCs w:val="24"/>
          <w:lang w:val="en-US" w:eastAsia="zh-CN" w:bidi="ar"/>
        </w:rPr>
        <w:t xml:space="preserve">本企业对上述声明内容的真实性负责。如有虚假，将依法承担相应责任。 </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spacing w:line="360" w:lineRule="auto"/>
        <w:jc w:val="left"/>
        <w:rPr>
          <w:sz w:val="24"/>
          <w:szCs w:val="24"/>
        </w:rPr>
      </w:pPr>
      <w:r>
        <w:rPr>
          <w:rFonts w:hint="eastAsia" w:ascii="宋体" w:hAnsi="宋体" w:eastAsia="宋体" w:cs="宋体"/>
          <w:color w:val="000000"/>
          <w:kern w:val="0"/>
          <w:sz w:val="24"/>
          <w:szCs w:val="24"/>
          <w:lang w:val="en-US" w:eastAsia="zh-CN" w:bidi="ar"/>
        </w:rPr>
        <w:t xml:space="preserve">企业名称（盖章）： </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日 期： </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spacing w:line="360" w:lineRule="auto"/>
        <w:jc w:val="left"/>
        <w:rPr>
          <w:sz w:val="24"/>
          <w:szCs w:val="24"/>
        </w:rPr>
      </w:pPr>
      <w:r>
        <w:rPr>
          <w:rFonts w:hint="eastAsia" w:ascii="宋体" w:hAnsi="宋体" w:eastAsia="宋体" w:cs="宋体"/>
          <w:color w:val="000000"/>
          <w:kern w:val="0"/>
          <w:sz w:val="24"/>
          <w:szCs w:val="24"/>
          <w:lang w:val="en-US" w:eastAsia="zh-CN" w:bidi="ar"/>
        </w:rPr>
        <w:t>注：1、从业人员、营业收入、资产总额填报上一年度数据，无上一年度数据的新成立企业可不填报。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pPr>
        <w:pStyle w:val="5"/>
        <w:numPr>
          <w:ilvl w:val="2"/>
          <w:numId w:val="0"/>
        </w:numPr>
        <w:spacing w:before="0" w:after="0" w:line="60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小型、微型企业产品明细表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如有</w:t>
      </w:r>
      <w:r>
        <w:rPr>
          <w:rFonts w:hint="eastAsia" w:ascii="宋体" w:hAnsi="宋体" w:eastAsia="宋体" w:cs="宋体"/>
          <w:color w:val="auto"/>
          <w:sz w:val="24"/>
          <w:szCs w:val="24"/>
          <w:lang w:eastAsia="zh-CN"/>
        </w:rPr>
        <w:t>）</w:t>
      </w:r>
    </w:p>
    <w:p>
      <w:pPr>
        <w:rPr>
          <w:rFonts w:hint="eastAsia" w:ascii="宋体" w:hAnsi="宋体" w:eastAsia="宋体" w:cs="宋体"/>
          <w:color w:val="auto"/>
          <w:sz w:val="24"/>
          <w:szCs w:val="24"/>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u w:val="single"/>
        </w:rPr>
        <w:t xml:space="preserve">                              </w:t>
      </w:r>
    </w:p>
    <w:tbl>
      <w:tblPr>
        <w:tblStyle w:val="22"/>
        <w:tblpPr w:leftFromText="180" w:rightFromText="180" w:vertAnchor="text" w:horzAnchor="page" w:tblpX="1513" w:tblpY="29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289"/>
        <w:gridCol w:w="1002"/>
        <w:gridCol w:w="859"/>
        <w:gridCol w:w="1288"/>
        <w:gridCol w:w="1467"/>
        <w:gridCol w:w="1549"/>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28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产品名称</w:t>
            </w:r>
          </w:p>
        </w:tc>
        <w:tc>
          <w:tcPr>
            <w:tcW w:w="1002"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制造商</w:t>
            </w:r>
          </w:p>
        </w:tc>
        <w:tc>
          <w:tcPr>
            <w:tcW w:w="85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品牌</w:t>
            </w:r>
          </w:p>
        </w:tc>
        <w:tc>
          <w:tcPr>
            <w:tcW w:w="1288"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产品型号</w:t>
            </w:r>
          </w:p>
        </w:tc>
        <w:tc>
          <w:tcPr>
            <w:tcW w:w="1467"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154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单价（元）</w:t>
            </w:r>
          </w:p>
        </w:tc>
        <w:tc>
          <w:tcPr>
            <w:tcW w:w="124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863"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8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02"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85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88"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467"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54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4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863"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8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02"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85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88"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467"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54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4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863"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8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02"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85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88"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467"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54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4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863"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8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02"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85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88"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467"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54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4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863"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8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02"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85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88"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467"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54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4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152" w:type="dxa"/>
            <w:gridSpan w:val="2"/>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小型、微型企业产品价格合计</w:t>
            </w:r>
          </w:p>
        </w:tc>
        <w:tc>
          <w:tcPr>
            <w:tcW w:w="1861" w:type="dxa"/>
            <w:gridSpan w:val="2"/>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2755" w:type="dxa"/>
            <w:gridSpan w:val="2"/>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小型、微型企业产品价格在投标报价中所占比例</w:t>
            </w:r>
          </w:p>
        </w:tc>
        <w:tc>
          <w:tcPr>
            <w:tcW w:w="2790" w:type="dxa"/>
            <w:gridSpan w:val="2"/>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tc>
      </w:tr>
    </w:tbl>
    <w:p>
      <w:pPr>
        <w:wordWrap w:val="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注： 1.如所投产品为小型、微型企业产品，必须按规定格式逐项填写，否则评分时不予以价格扣除。如所投产品不是小型、微型企业产品，则不需填写本表。</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2.此表可根据需要同格式扩展。</w:t>
      </w:r>
    </w:p>
    <w:p>
      <w:pPr>
        <w:pStyle w:val="21"/>
        <w:rPr>
          <w:rFonts w:hint="eastAsia" w:ascii="宋体" w:hAnsi="宋体" w:eastAsia="宋体" w:cs="宋体"/>
          <w:color w:val="auto"/>
          <w:sz w:val="24"/>
          <w:szCs w:val="24"/>
        </w:rPr>
      </w:pPr>
    </w:p>
    <w:p>
      <w:pPr>
        <w:spacing w:before="312" w:beforeLines="100" w:line="50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（盖单位公章）</w:t>
      </w:r>
    </w:p>
    <w:p>
      <w:pPr>
        <w:spacing w:before="312" w:beforeLines="100" w:line="50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（签字或盖章）</w:t>
      </w:r>
    </w:p>
    <w:p>
      <w:pPr>
        <w:spacing w:before="312" w:beforeLines="100" w:line="500" w:lineRule="exact"/>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日</w:t>
      </w:r>
    </w:p>
    <w:p>
      <w:pPr>
        <w:spacing w:line="480" w:lineRule="exact"/>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spacing w:line="360" w:lineRule="auto"/>
        <w:jc w:val="center"/>
        <w:outlineLvl w:val="0"/>
        <w:rPr>
          <w:rFonts w:hint="eastAsia" w:ascii="宋体" w:hAnsi="宋体" w:eastAsia="宋体" w:cs="宋体"/>
          <w:color w:val="auto"/>
          <w:sz w:val="24"/>
          <w:szCs w:val="24"/>
        </w:rPr>
      </w:pPr>
      <w:bookmarkStart w:id="265" w:name="_Toc20414"/>
      <w:bookmarkStart w:id="266" w:name="_Toc10470"/>
      <w:r>
        <w:rPr>
          <w:rFonts w:hint="eastAsia" w:ascii="宋体" w:hAnsi="宋体" w:eastAsia="宋体" w:cs="宋体"/>
          <w:color w:val="auto"/>
          <w:sz w:val="24"/>
          <w:szCs w:val="24"/>
        </w:rPr>
        <w:t>残疾人福利性单位声明函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如有</w:t>
      </w:r>
      <w:r>
        <w:rPr>
          <w:rFonts w:hint="eastAsia" w:ascii="宋体" w:hAnsi="宋体" w:eastAsia="宋体" w:cs="宋体"/>
          <w:color w:val="auto"/>
          <w:sz w:val="24"/>
          <w:szCs w:val="24"/>
          <w:lang w:eastAsia="zh-CN"/>
        </w:rPr>
        <w:t>）</w:t>
      </w:r>
      <w:bookmarkEnd w:id="265"/>
      <w:bookmarkEnd w:id="266"/>
    </w:p>
    <w:p>
      <w:pPr>
        <w:spacing w:line="360" w:lineRule="auto"/>
        <w:jc w:val="center"/>
        <w:outlineLvl w:val="0"/>
        <w:rPr>
          <w:rFonts w:hint="eastAsia" w:ascii="宋体" w:hAnsi="宋体" w:eastAsia="宋体" w:cs="宋体"/>
          <w:color w:val="auto"/>
          <w:sz w:val="24"/>
          <w:szCs w:val="24"/>
        </w:rPr>
      </w:pPr>
      <w:bookmarkStart w:id="267" w:name="_Toc26085"/>
      <w:bookmarkStart w:id="268" w:name="_Toc19692"/>
      <w:r>
        <w:rPr>
          <w:rFonts w:hint="eastAsia" w:ascii="宋体" w:hAnsi="宋体" w:eastAsia="宋体" w:cs="宋体"/>
          <w:color w:val="auto"/>
          <w:sz w:val="24"/>
          <w:szCs w:val="24"/>
        </w:rPr>
        <w:t>（非残疾人福利单位不需要提供）</w:t>
      </w:r>
      <w:bookmarkEnd w:id="267"/>
      <w:bookmarkEnd w:id="268"/>
    </w:p>
    <w:p>
      <w:pPr>
        <w:jc w:val="left"/>
        <w:rPr>
          <w:rFonts w:hint="eastAsia" w:ascii="宋体" w:hAnsi="宋体" w:eastAsia="宋体" w:cs="宋体"/>
          <w:color w:val="auto"/>
          <w:sz w:val="24"/>
          <w:szCs w:val="24"/>
          <w:lang w:val="zh-CN"/>
        </w:rPr>
      </w:pPr>
    </w:p>
    <w:p>
      <w:pP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 xml:space="preserve">本单位郑重声明，根据《财政部 民政部 中国残疾人联合会关于促进残疾人就业政府采购政策的通知》（财库〔2017〕141 号）的规定，本单位为符合条件的残疾人福利性单位，且本单位参加______单位的______项目采购活动提供本单位制造的货物（由本单位承担工程/ 提供服务），或者提供其他残疾人福利性单位制造的货物（不包括使用非残疾人福利性单位注 册商标的货物）。 </w:t>
      </w:r>
    </w:p>
    <w:p>
      <w:pPr>
        <w:spacing w:line="360" w:lineRule="auto"/>
        <w:jc w:val="left"/>
        <w:rPr>
          <w:rFonts w:hint="eastAsia" w:ascii="宋体" w:hAnsi="宋体" w:eastAsia="宋体" w:cs="宋体"/>
          <w:color w:val="auto"/>
          <w:sz w:val="24"/>
          <w:szCs w:val="24"/>
          <w:lang w:val="zh-CN"/>
        </w:rPr>
      </w:pPr>
    </w:p>
    <w:p>
      <w:pPr>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 xml:space="preserve">本单位对上述声明的真实性负责。如有虚假，将依法承担相应责任。 </w:t>
      </w:r>
    </w:p>
    <w:p>
      <w:pPr>
        <w:jc w:val="left"/>
        <w:rPr>
          <w:rFonts w:hint="eastAsia" w:ascii="宋体" w:hAnsi="宋体" w:eastAsia="宋体" w:cs="宋体"/>
          <w:color w:val="auto"/>
          <w:sz w:val="24"/>
          <w:szCs w:val="24"/>
          <w:lang w:val="zh-CN"/>
        </w:rPr>
      </w:pPr>
    </w:p>
    <w:p>
      <w:pPr>
        <w:pStyle w:val="2"/>
        <w:ind w:left="820" w:hanging="400"/>
        <w:rPr>
          <w:rFonts w:hint="eastAsia" w:ascii="宋体" w:hAnsi="宋体" w:eastAsia="宋体" w:cs="宋体"/>
          <w:color w:val="auto"/>
          <w:sz w:val="24"/>
          <w:szCs w:val="24"/>
          <w:lang w:val="zh-CN"/>
        </w:rPr>
      </w:pPr>
    </w:p>
    <w:p>
      <w:pPr>
        <w:spacing w:before="312" w:beforeLines="100" w:line="50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（盖单位公章）</w:t>
      </w:r>
    </w:p>
    <w:p>
      <w:pPr>
        <w:spacing w:before="312" w:beforeLines="100" w:line="50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（签字或盖章）</w:t>
      </w:r>
    </w:p>
    <w:p>
      <w:pPr>
        <w:spacing w:before="312" w:beforeLines="100" w:line="500" w:lineRule="exact"/>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日</w:t>
      </w:r>
    </w:p>
    <w:p>
      <w:pPr>
        <w:jc w:val="center"/>
        <w:rPr>
          <w:rFonts w:hint="eastAsia" w:ascii="宋体" w:hAnsi="宋体" w:eastAsia="宋体" w:cs="宋体"/>
          <w:color w:val="auto"/>
          <w:sz w:val="24"/>
          <w:szCs w:val="24"/>
          <w:lang w:val="zh-CN"/>
        </w:rPr>
      </w:pPr>
    </w:p>
    <w:p>
      <w:pPr>
        <w:jc w:val="center"/>
        <w:rPr>
          <w:rFonts w:hint="eastAsia" w:ascii="宋体" w:hAnsi="宋体" w:eastAsia="宋体" w:cs="宋体"/>
          <w:color w:val="auto"/>
          <w:sz w:val="24"/>
          <w:szCs w:val="24"/>
          <w:lang w:val="zh-CN"/>
        </w:rPr>
      </w:pPr>
    </w:p>
    <w:p>
      <w:pPr>
        <w:jc w:val="center"/>
        <w:rPr>
          <w:rFonts w:hint="eastAsia" w:ascii="宋体" w:hAnsi="宋体" w:eastAsia="宋体" w:cs="宋体"/>
          <w:color w:val="auto"/>
          <w:sz w:val="24"/>
          <w:szCs w:val="24"/>
          <w:lang w:val="zh-CN"/>
        </w:rPr>
      </w:pPr>
    </w:p>
    <w:p>
      <w:pPr>
        <w:jc w:val="center"/>
        <w:rPr>
          <w:rFonts w:hint="eastAsia" w:ascii="宋体" w:hAnsi="宋体" w:eastAsia="宋体" w:cs="宋体"/>
          <w:color w:val="auto"/>
          <w:sz w:val="24"/>
          <w:szCs w:val="24"/>
          <w:lang w:val="zh-CN"/>
        </w:rPr>
      </w:pPr>
    </w:p>
    <w:p>
      <w:pPr>
        <w:jc w:val="center"/>
        <w:rPr>
          <w:rFonts w:hint="eastAsia" w:ascii="宋体" w:hAnsi="宋体" w:eastAsia="宋体" w:cs="宋体"/>
          <w:color w:val="auto"/>
          <w:sz w:val="24"/>
          <w:szCs w:val="24"/>
          <w:lang w:val="zh-CN"/>
        </w:rPr>
      </w:pPr>
    </w:p>
    <w:p>
      <w:pPr>
        <w:rPr>
          <w:rFonts w:hint="eastAsia" w:ascii="宋体" w:hAnsi="宋体" w:eastAsia="宋体" w:cs="宋体"/>
          <w:color w:val="auto"/>
          <w:sz w:val="24"/>
          <w:szCs w:val="24"/>
          <w:lang w:val="zh-CN"/>
        </w:rPr>
      </w:pPr>
    </w:p>
    <w:p>
      <w:pPr>
        <w:jc w:val="center"/>
        <w:rPr>
          <w:rFonts w:hint="eastAsia" w:ascii="宋体" w:hAnsi="宋体" w:eastAsia="宋体" w:cs="宋体"/>
          <w:color w:val="auto"/>
          <w:sz w:val="24"/>
          <w:szCs w:val="24"/>
          <w:lang w:val="zh-CN"/>
        </w:rPr>
      </w:pPr>
    </w:p>
    <w:p>
      <w:pPr>
        <w:spacing w:before="156" w:beforeLines="5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spacing w:before="156" w:beforeLines="50" w:line="360" w:lineRule="auto"/>
        <w:jc w:val="center"/>
        <w:outlineLvl w:val="0"/>
        <w:rPr>
          <w:rFonts w:hint="eastAsia" w:ascii="宋体" w:hAnsi="宋体" w:eastAsia="宋体" w:cs="宋体"/>
          <w:color w:val="auto"/>
          <w:sz w:val="24"/>
          <w:szCs w:val="24"/>
        </w:rPr>
      </w:pPr>
      <w:bookmarkStart w:id="269" w:name="_Toc15433"/>
      <w:bookmarkStart w:id="270" w:name="_Toc22038"/>
      <w:r>
        <w:rPr>
          <w:rFonts w:hint="eastAsia" w:ascii="宋体" w:hAnsi="宋体" w:eastAsia="宋体" w:cs="宋体"/>
          <w:color w:val="auto"/>
          <w:sz w:val="24"/>
          <w:szCs w:val="24"/>
        </w:rPr>
        <w:t>监狱企业证明材料</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如有</w:t>
      </w:r>
      <w:r>
        <w:rPr>
          <w:rFonts w:hint="eastAsia" w:ascii="宋体" w:hAnsi="宋体" w:eastAsia="宋体" w:cs="宋体"/>
          <w:color w:val="auto"/>
          <w:sz w:val="24"/>
          <w:szCs w:val="24"/>
          <w:lang w:eastAsia="zh-CN"/>
        </w:rPr>
        <w:t>）</w:t>
      </w:r>
      <w:bookmarkEnd w:id="269"/>
      <w:bookmarkEnd w:id="270"/>
    </w:p>
    <w:p>
      <w:pPr>
        <w:jc w:val="center"/>
        <w:outlineLvl w:val="0"/>
        <w:rPr>
          <w:rFonts w:hint="eastAsia" w:ascii="宋体" w:hAnsi="宋体" w:eastAsia="宋体" w:cs="宋体"/>
          <w:color w:val="auto"/>
          <w:sz w:val="24"/>
          <w:szCs w:val="24"/>
          <w:lang w:val="zh-CN"/>
        </w:rPr>
      </w:pPr>
      <w:bookmarkStart w:id="271" w:name="_Toc14144"/>
      <w:bookmarkStart w:id="272" w:name="_Toc23187"/>
      <w:r>
        <w:rPr>
          <w:rFonts w:hint="eastAsia" w:ascii="宋体" w:hAnsi="宋体" w:eastAsia="宋体" w:cs="宋体"/>
          <w:color w:val="auto"/>
          <w:sz w:val="24"/>
          <w:szCs w:val="24"/>
          <w:lang w:val="zh-CN"/>
        </w:rPr>
        <w:t>（若企业非监狱企业，则不需填写）</w:t>
      </w:r>
      <w:bookmarkEnd w:id="271"/>
      <w:bookmarkEnd w:id="272"/>
    </w:p>
    <w:p>
      <w:pPr>
        <w:ind w:firstLine="482" w:firstLineChars="200"/>
        <w:jc w:val="left"/>
        <w:rPr>
          <w:rFonts w:hint="eastAsia" w:ascii="宋体" w:hAnsi="宋体" w:eastAsia="宋体" w:cs="宋体"/>
          <w:color w:val="auto"/>
          <w:sz w:val="24"/>
          <w:szCs w:val="24"/>
          <w:lang w:val="zh-CN"/>
        </w:rPr>
      </w:pPr>
    </w:p>
    <w:p>
      <w:pPr>
        <w:spacing w:line="360" w:lineRule="auto"/>
        <w:ind w:firstLine="482"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提供由省级以上监狱管理局、戒毒管理局（含新疆生产建设兵团）出具的属于监狱企业的证明文件。</w:t>
      </w:r>
    </w:p>
    <w:p>
      <w:pPr>
        <w:jc w:val="left"/>
        <w:rPr>
          <w:rFonts w:hint="eastAsia" w:ascii="宋体" w:hAnsi="宋体" w:eastAsia="宋体" w:cs="宋体"/>
          <w:color w:val="auto"/>
          <w:sz w:val="24"/>
          <w:szCs w:val="24"/>
          <w:lang w:val="zh-CN"/>
        </w:rPr>
      </w:pPr>
    </w:p>
    <w:p>
      <w:pPr>
        <w:jc w:val="left"/>
        <w:rPr>
          <w:rFonts w:hint="eastAsia" w:ascii="宋体" w:hAnsi="宋体" w:eastAsia="宋体" w:cs="宋体"/>
          <w:color w:val="auto"/>
          <w:sz w:val="24"/>
          <w:szCs w:val="24"/>
          <w:lang w:val="zh-CN"/>
        </w:rPr>
      </w:pPr>
    </w:p>
    <w:p>
      <w:pPr>
        <w:spacing w:before="312" w:beforeLines="100" w:line="50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（盖单位公章）</w:t>
      </w:r>
    </w:p>
    <w:p>
      <w:pPr>
        <w:spacing w:before="312" w:beforeLines="100" w:line="50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（签字或盖章）</w:t>
      </w:r>
    </w:p>
    <w:p>
      <w:pPr>
        <w:pStyle w:val="12"/>
        <w:ind w:firstLine="482" w:firstLineChars="200"/>
        <w:rPr>
          <w:rFonts w:hint="eastAsia" w:ascii="宋体" w:hAnsi="宋体" w:eastAsia="宋体" w:cs="宋体"/>
          <w:color w:val="auto"/>
          <w:sz w:val="24"/>
          <w:szCs w:val="24"/>
          <w:u w:val="single"/>
        </w:rPr>
      </w:pPr>
    </w:p>
    <w:p>
      <w:pPr>
        <w:pStyle w:val="12"/>
        <w:ind w:firstLine="482" w:firstLineChars="200"/>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日</w:t>
      </w:r>
    </w:p>
    <w:p>
      <w:pPr>
        <w:pStyle w:val="12"/>
        <w:ind w:firstLine="482" w:firstLineChars="200"/>
        <w:rPr>
          <w:rFonts w:hint="eastAsia" w:ascii="宋体" w:hAnsi="宋体" w:eastAsia="宋体" w:cs="宋体"/>
          <w:color w:val="auto"/>
          <w:sz w:val="24"/>
          <w:szCs w:val="24"/>
        </w:rPr>
      </w:pPr>
    </w:p>
    <w:p>
      <w:pPr>
        <w:pStyle w:val="12"/>
        <w:ind w:firstLine="482" w:firstLineChars="200"/>
        <w:rPr>
          <w:rFonts w:hint="eastAsia" w:ascii="宋体" w:hAnsi="宋体" w:eastAsia="宋体" w:cs="宋体"/>
          <w:color w:val="auto"/>
          <w:sz w:val="24"/>
          <w:szCs w:val="24"/>
        </w:rPr>
      </w:pPr>
    </w:p>
    <w:p>
      <w:pPr>
        <w:pStyle w:val="12"/>
        <w:ind w:firstLine="482" w:firstLineChars="200"/>
        <w:rPr>
          <w:rFonts w:hint="eastAsia" w:ascii="宋体" w:hAnsi="宋体" w:eastAsia="宋体" w:cs="宋体"/>
          <w:color w:val="auto"/>
          <w:sz w:val="24"/>
          <w:szCs w:val="24"/>
        </w:rPr>
      </w:pPr>
    </w:p>
    <w:p>
      <w:pPr>
        <w:pStyle w:val="12"/>
        <w:ind w:firstLine="482" w:firstLineChars="200"/>
        <w:rPr>
          <w:rFonts w:hint="eastAsia" w:ascii="宋体" w:hAnsi="宋体" w:eastAsia="宋体" w:cs="宋体"/>
          <w:color w:val="auto"/>
          <w:sz w:val="24"/>
          <w:szCs w:val="24"/>
        </w:rPr>
      </w:pPr>
    </w:p>
    <w:p>
      <w:pPr>
        <w:pStyle w:val="12"/>
        <w:ind w:firstLine="482" w:firstLineChars="200"/>
        <w:rPr>
          <w:rFonts w:hint="eastAsia" w:ascii="宋体" w:hAnsi="宋体" w:eastAsia="宋体" w:cs="宋体"/>
          <w:color w:val="auto"/>
          <w:sz w:val="24"/>
          <w:szCs w:val="24"/>
        </w:rPr>
      </w:pPr>
    </w:p>
    <w:p>
      <w:pPr>
        <w:pStyle w:val="12"/>
        <w:ind w:firstLine="482" w:firstLineChars="200"/>
        <w:rPr>
          <w:rFonts w:hint="eastAsia" w:ascii="宋体" w:hAnsi="宋体" w:eastAsia="宋体" w:cs="宋体"/>
          <w:color w:val="auto"/>
          <w:sz w:val="24"/>
          <w:szCs w:val="24"/>
        </w:rPr>
      </w:pPr>
    </w:p>
    <w:p>
      <w:pPr>
        <w:pStyle w:val="12"/>
        <w:ind w:firstLine="482" w:firstLineChars="200"/>
        <w:rPr>
          <w:rFonts w:hint="eastAsia" w:ascii="宋体" w:hAnsi="宋体" w:eastAsia="宋体" w:cs="宋体"/>
          <w:color w:val="auto"/>
          <w:sz w:val="24"/>
          <w:szCs w:val="24"/>
        </w:rPr>
      </w:pPr>
    </w:p>
    <w:p>
      <w:pPr>
        <w:pStyle w:val="12"/>
        <w:ind w:firstLine="482" w:firstLineChars="200"/>
        <w:rPr>
          <w:rFonts w:hint="eastAsia" w:ascii="宋体" w:hAnsi="宋体" w:eastAsia="宋体" w:cs="宋体"/>
          <w:color w:val="auto"/>
          <w:sz w:val="24"/>
          <w:szCs w:val="24"/>
        </w:rPr>
      </w:pPr>
    </w:p>
    <w:p>
      <w:pPr>
        <w:pStyle w:val="12"/>
        <w:ind w:firstLine="482" w:firstLineChars="200"/>
        <w:rPr>
          <w:rFonts w:hint="eastAsia" w:ascii="宋体" w:hAnsi="宋体" w:eastAsia="宋体" w:cs="宋体"/>
          <w:color w:val="auto"/>
          <w:sz w:val="24"/>
          <w:szCs w:val="24"/>
        </w:rPr>
      </w:pPr>
    </w:p>
    <w:p>
      <w:pPr>
        <w:pStyle w:val="12"/>
        <w:ind w:firstLine="482" w:firstLineChars="200"/>
        <w:rPr>
          <w:rFonts w:hint="eastAsia" w:ascii="宋体" w:hAnsi="宋体" w:eastAsia="宋体" w:cs="宋体"/>
          <w:color w:val="auto"/>
          <w:sz w:val="24"/>
          <w:szCs w:val="24"/>
        </w:rPr>
      </w:pPr>
    </w:p>
    <w:p>
      <w:pPr>
        <w:pStyle w:val="12"/>
        <w:ind w:firstLine="482" w:firstLineChars="200"/>
        <w:rPr>
          <w:rFonts w:hint="eastAsia" w:ascii="宋体" w:hAnsi="宋体" w:eastAsia="宋体" w:cs="宋体"/>
          <w:color w:val="auto"/>
          <w:sz w:val="24"/>
          <w:szCs w:val="24"/>
        </w:rPr>
      </w:pPr>
    </w:p>
    <w:p>
      <w:pPr>
        <w:pStyle w:val="12"/>
        <w:ind w:firstLine="482" w:firstLineChars="200"/>
        <w:rPr>
          <w:rFonts w:hint="eastAsia" w:ascii="宋体" w:hAnsi="宋体" w:eastAsia="宋体" w:cs="宋体"/>
          <w:color w:val="auto"/>
          <w:sz w:val="24"/>
          <w:szCs w:val="24"/>
        </w:rPr>
      </w:pPr>
    </w:p>
    <w:p>
      <w:pPr>
        <w:pStyle w:val="12"/>
        <w:ind w:firstLine="482" w:firstLineChars="200"/>
        <w:rPr>
          <w:rFonts w:hint="eastAsia" w:ascii="宋体" w:hAnsi="宋体" w:eastAsia="宋体" w:cs="宋体"/>
          <w:color w:val="auto"/>
          <w:sz w:val="24"/>
          <w:szCs w:val="24"/>
        </w:rPr>
      </w:pPr>
    </w:p>
    <w:p>
      <w:pPr>
        <w:pStyle w:val="12"/>
        <w:ind w:firstLine="482" w:firstLineChars="200"/>
        <w:rPr>
          <w:rFonts w:hint="eastAsia" w:ascii="宋体" w:hAnsi="宋体" w:eastAsia="宋体" w:cs="宋体"/>
          <w:color w:val="auto"/>
          <w:sz w:val="24"/>
          <w:szCs w:val="24"/>
        </w:rPr>
      </w:pPr>
    </w:p>
    <w:p>
      <w:pPr>
        <w:pStyle w:val="12"/>
        <w:ind w:firstLine="482" w:firstLineChars="200"/>
        <w:rPr>
          <w:rFonts w:hint="eastAsia" w:ascii="宋体" w:hAnsi="宋体" w:eastAsia="宋体" w:cs="宋体"/>
          <w:color w:val="auto"/>
          <w:sz w:val="24"/>
          <w:szCs w:val="24"/>
        </w:rPr>
      </w:pPr>
    </w:p>
    <w:p>
      <w:pPr>
        <w:pStyle w:val="12"/>
        <w:ind w:firstLine="482" w:firstLineChars="200"/>
        <w:rPr>
          <w:rFonts w:hint="eastAsia" w:ascii="宋体" w:hAnsi="宋体" w:eastAsia="宋体" w:cs="宋体"/>
          <w:color w:val="auto"/>
          <w:sz w:val="24"/>
          <w:szCs w:val="24"/>
        </w:rPr>
      </w:pPr>
    </w:p>
    <w:p>
      <w:pPr>
        <w:pStyle w:val="12"/>
        <w:ind w:firstLine="482" w:firstLineChars="200"/>
        <w:rPr>
          <w:rFonts w:hint="eastAsia" w:ascii="宋体" w:hAnsi="宋体" w:eastAsia="宋体" w:cs="宋体"/>
          <w:color w:val="auto"/>
          <w:sz w:val="24"/>
          <w:szCs w:val="24"/>
        </w:rPr>
      </w:pPr>
    </w:p>
    <w:p>
      <w:pPr>
        <w:pStyle w:val="12"/>
        <w:ind w:firstLine="482" w:firstLineChars="200"/>
        <w:rPr>
          <w:rFonts w:hint="eastAsia" w:ascii="宋体" w:hAnsi="宋体" w:eastAsia="宋体" w:cs="宋体"/>
          <w:color w:val="auto"/>
          <w:sz w:val="24"/>
          <w:szCs w:val="24"/>
        </w:rPr>
      </w:pPr>
    </w:p>
    <w:p>
      <w:pPr>
        <w:pStyle w:val="12"/>
        <w:ind w:firstLine="482" w:firstLineChars="200"/>
        <w:rPr>
          <w:rFonts w:hint="eastAsia" w:ascii="宋体" w:hAnsi="宋体" w:eastAsia="宋体" w:cs="宋体"/>
          <w:color w:val="auto"/>
          <w:sz w:val="24"/>
          <w:szCs w:val="24"/>
        </w:rPr>
      </w:pPr>
    </w:p>
    <w:p>
      <w:pPr>
        <w:pStyle w:val="12"/>
        <w:ind w:firstLine="482" w:firstLineChars="200"/>
        <w:rPr>
          <w:rFonts w:hint="eastAsia" w:ascii="宋体" w:hAnsi="宋体" w:eastAsia="宋体" w:cs="宋体"/>
          <w:color w:val="auto"/>
          <w:sz w:val="24"/>
          <w:szCs w:val="24"/>
        </w:rPr>
      </w:pPr>
    </w:p>
    <w:p>
      <w:pPr>
        <w:pStyle w:val="12"/>
        <w:ind w:firstLine="482" w:firstLineChars="200"/>
        <w:rPr>
          <w:rFonts w:hint="eastAsia" w:ascii="宋体" w:hAnsi="宋体" w:eastAsia="宋体" w:cs="宋体"/>
          <w:color w:val="auto"/>
          <w:sz w:val="24"/>
          <w:szCs w:val="24"/>
        </w:rPr>
      </w:pPr>
    </w:p>
    <w:p>
      <w:pPr>
        <w:pStyle w:val="12"/>
        <w:ind w:firstLine="482" w:firstLineChars="200"/>
        <w:rPr>
          <w:rFonts w:hint="eastAsia" w:ascii="宋体" w:hAnsi="宋体" w:eastAsia="宋体" w:cs="宋体"/>
          <w:color w:val="auto"/>
          <w:sz w:val="24"/>
          <w:szCs w:val="24"/>
        </w:rPr>
      </w:pPr>
    </w:p>
    <w:p>
      <w:pPr>
        <w:pStyle w:val="12"/>
        <w:ind w:firstLine="482" w:firstLineChars="200"/>
        <w:rPr>
          <w:rFonts w:hint="eastAsia" w:ascii="宋体" w:hAnsi="宋体" w:eastAsia="宋体" w:cs="宋体"/>
          <w:color w:val="auto"/>
          <w:sz w:val="24"/>
          <w:szCs w:val="24"/>
        </w:rPr>
      </w:pPr>
    </w:p>
    <w:p>
      <w:pPr>
        <w:pStyle w:val="12"/>
        <w:ind w:firstLine="482" w:firstLineChars="200"/>
        <w:rPr>
          <w:rFonts w:hint="eastAsia" w:ascii="宋体" w:hAnsi="宋体" w:eastAsia="宋体" w:cs="宋体"/>
          <w:color w:val="auto"/>
          <w:sz w:val="24"/>
          <w:szCs w:val="24"/>
        </w:rPr>
      </w:pPr>
    </w:p>
    <w:p>
      <w:pPr>
        <w:pStyle w:val="12"/>
        <w:ind w:firstLine="482" w:firstLineChars="200"/>
        <w:rPr>
          <w:rFonts w:hint="eastAsia" w:ascii="宋体" w:hAnsi="宋体" w:eastAsia="宋体" w:cs="宋体"/>
          <w:color w:val="auto"/>
          <w:sz w:val="24"/>
          <w:szCs w:val="24"/>
        </w:rPr>
      </w:pPr>
    </w:p>
    <w:p>
      <w:pPr>
        <w:spacing w:before="100" w:beforeAutospacing="1" w:after="100" w:afterAutospacing="1"/>
        <w:jc w:val="center"/>
        <w:rPr>
          <w:rFonts w:hint="eastAsia" w:ascii="宋体" w:hAnsi="宋体" w:eastAsia="宋体" w:cs="宋体"/>
          <w:color w:val="auto"/>
          <w:kern w:val="0"/>
          <w:sz w:val="24"/>
          <w:szCs w:val="24"/>
        </w:rPr>
      </w:pPr>
    </w:p>
    <w:p>
      <w:pPr>
        <w:pStyle w:val="8"/>
        <w:rPr>
          <w:rFonts w:hint="eastAsia"/>
        </w:rPr>
      </w:pPr>
    </w:p>
    <w:p>
      <w:pPr>
        <w:spacing w:before="100" w:beforeAutospacing="1" w:after="100" w:afterAutospacing="1"/>
        <w:jc w:val="center"/>
        <w:outlineLvl w:val="0"/>
        <w:rPr>
          <w:rFonts w:hint="eastAsia" w:ascii="宋体" w:hAnsi="宋体" w:eastAsia="宋体" w:cs="宋体"/>
          <w:color w:val="auto"/>
          <w:kern w:val="0"/>
          <w:sz w:val="24"/>
          <w:szCs w:val="24"/>
        </w:rPr>
      </w:pPr>
      <w:bookmarkStart w:id="273" w:name="_Toc32388"/>
      <w:bookmarkStart w:id="274" w:name="_Toc24960"/>
      <w:r>
        <w:rPr>
          <w:rFonts w:hint="eastAsia" w:ascii="宋体" w:hAnsi="宋体" w:eastAsia="宋体" w:cs="宋体"/>
          <w:color w:val="auto"/>
          <w:kern w:val="0"/>
          <w:sz w:val="24"/>
          <w:szCs w:val="24"/>
        </w:rPr>
        <w:t>节能环保产品明细表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如有</w:t>
      </w:r>
      <w:r>
        <w:rPr>
          <w:rFonts w:hint="eastAsia" w:ascii="宋体" w:hAnsi="宋体" w:eastAsia="宋体" w:cs="宋体"/>
          <w:color w:val="auto"/>
          <w:sz w:val="24"/>
          <w:szCs w:val="24"/>
          <w:lang w:eastAsia="zh-CN"/>
        </w:rPr>
        <w:t>）</w:t>
      </w:r>
      <w:bookmarkEnd w:id="273"/>
      <w:bookmarkEnd w:id="274"/>
    </w:p>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u w:val="single"/>
        </w:rPr>
        <w:t xml:space="preserve">                             </w:t>
      </w:r>
    </w:p>
    <w:p>
      <w:pPr>
        <w:wordWrap w:val="0"/>
        <w:rPr>
          <w:rFonts w:hint="eastAsia" w:ascii="宋体" w:hAnsi="宋体" w:eastAsia="宋体" w:cs="宋体"/>
          <w:color w:val="auto"/>
          <w:sz w:val="24"/>
          <w:szCs w:val="24"/>
          <w:u w:val="single"/>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xml:space="preserve">                              </w:t>
      </w:r>
    </w:p>
    <w:tbl>
      <w:tblPr>
        <w:tblStyle w:val="22"/>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077"/>
        <w:gridCol w:w="1079"/>
        <w:gridCol w:w="1081"/>
        <w:gridCol w:w="1239"/>
        <w:gridCol w:w="1274"/>
        <w:gridCol w:w="851"/>
        <w:gridCol w:w="1088"/>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3"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077"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产品名称</w:t>
            </w:r>
          </w:p>
        </w:tc>
        <w:tc>
          <w:tcPr>
            <w:tcW w:w="107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品牌/型号</w:t>
            </w:r>
          </w:p>
        </w:tc>
        <w:tc>
          <w:tcPr>
            <w:tcW w:w="108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厂家/产地</w:t>
            </w:r>
          </w:p>
        </w:tc>
        <w:tc>
          <w:tcPr>
            <w:tcW w:w="1239"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8"/>
                <w:kern w:val="0"/>
                <w:sz w:val="24"/>
                <w:szCs w:val="24"/>
              </w:rPr>
            </w:pPr>
            <w:r>
              <w:rPr>
                <w:rFonts w:hint="eastAsia" w:ascii="宋体" w:hAnsi="宋体" w:eastAsia="宋体" w:cs="宋体"/>
                <w:color w:val="auto"/>
                <w:spacing w:val="-8"/>
                <w:kern w:val="0"/>
                <w:sz w:val="24"/>
                <w:szCs w:val="24"/>
              </w:rPr>
              <w:t>节字标志</w:t>
            </w:r>
          </w:p>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spacing w:val="-8"/>
                <w:kern w:val="0"/>
                <w:sz w:val="24"/>
                <w:szCs w:val="24"/>
              </w:rPr>
              <w:t>认证证书号</w:t>
            </w:r>
          </w:p>
        </w:tc>
        <w:tc>
          <w:tcPr>
            <w:tcW w:w="1274" w:type="dxa"/>
            <w:noWrap w:val="0"/>
            <w:vAlign w:val="center"/>
          </w:tcPr>
          <w:p>
            <w:pPr>
              <w:keepNext w:val="0"/>
              <w:keepLines w:val="0"/>
              <w:pageBreakBefore w:val="0"/>
              <w:widowControl/>
              <w:tabs>
                <w:tab w:val="left" w:pos="3333"/>
              </w:tabs>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8"/>
                <w:kern w:val="0"/>
                <w:sz w:val="24"/>
                <w:szCs w:val="24"/>
              </w:rPr>
            </w:pPr>
            <w:r>
              <w:rPr>
                <w:rFonts w:hint="eastAsia" w:ascii="宋体" w:hAnsi="宋体" w:eastAsia="宋体" w:cs="宋体"/>
                <w:color w:val="auto"/>
                <w:spacing w:val="-8"/>
                <w:kern w:val="0"/>
                <w:sz w:val="24"/>
                <w:szCs w:val="24"/>
              </w:rPr>
              <w:t>环境标志</w:t>
            </w:r>
          </w:p>
          <w:p>
            <w:pPr>
              <w:keepNext w:val="0"/>
              <w:keepLines w:val="0"/>
              <w:pageBreakBefore w:val="0"/>
              <w:widowControl/>
              <w:tabs>
                <w:tab w:val="left" w:pos="3333"/>
              </w:tabs>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spacing w:val="-8"/>
                <w:kern w:val="0"/>
                <w:sz w:val="24"/>
                <w:szCs w:val="24"/>
              </w:rPr>
              <w:t>认证证书编号</w:t>
            </w:r>
          </w:p>
        </w:tc>
        <w:tc>
          <w:tcPr>
            <w:tcW w:w="85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1088"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单价（元）</w:t>
            </w:r>
          </w:p>
        </w:tc>
        <w:tc>
          <w:tcPr>
            <w:tcW w:w="1005"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3"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77"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7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8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3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74"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85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88"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05"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3"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77"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7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8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3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74"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85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88"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05"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3"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77"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7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8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3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74"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85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88"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05"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3"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77"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7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8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3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74"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85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88"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05"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3"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77"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7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8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3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74"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85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88"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05"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3"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77"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7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8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3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74"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85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88"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05"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3"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77"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7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8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3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74"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85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88"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05"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49" w:type="dxa"/>
            <w:gridSpan w:val="3"/>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节能产品价格合计</w:t>
            </w:r>
          </w:p>
        </w:tc>
        <w:tc>
          <w:tcPr>
            <w:tcW w:w="2320" w:type="dxa"/>
            <w:gridSpan w:val="2"/>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2125" w:type="dxa"/>
            <w:gridSpan w:val="2"/>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节能产品价格在投标报价中所占比例</w:t>
            </w:r>
          </w:p>
        </w:tc>
        <w:tc>
          <w:tcPr>
            <w:tcW w:w="2093" w:type="dxa"/>
            <w:gridSpan w:val="2"/>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49" w:type="dxa"/>
            <w:gridSpan w:val="3"/>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环境标志产品价格合计</w:t>
            </w:r>
          </w:p>
        </w:tc>
        <w:tc>
          <w:tcPr>
            <w:tcW w:w="2320" w:type="dxa"/>
            <w:gridSpan w:val="2"/>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2125" w:type="dxa"/>
            <w:gridSpan w:val="2"/>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环境标准产品价格</w:t>
            </w:r>
          </w:p>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在投标报价中所占比例</w:t>
            </w:r>
          </w:p>
        </w:tc>
        <w:tc>
          <w:tcPr>
            <w:tcW w:w="2093" w:type="dxa"/>
            <w:gridSpan w:val="2"/>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tc>
      </w:tr>
    </w:tbl>
    <w:p>
      <w:pPr>
        <w:rPr>
          <w:rFonts w:hint="eastAsia" w:ascii="宋体" w:hAnsi="宋体" w:eastAsia="宋体" w:cs="宋体"/>
          <w:color w:val="auto"/>
          <w:sz w:val="24"/>
          <w:szCs w:val="24"/>
        </w:rPr>
      </w:pPr>
      <w:r>
        <w:rPr>
          <w:rFonts w:hint="eastAsia" w:ascii="宋体" w:hAnsi="宋体" w:eastAsia="宋体" w:cs="宋体"/>
          <w:color w:val="auto"/>
          <w:sz w:val="24"/>
          <w:szCs w:val="24"/>
        </w:rPr>
        <w:t>注：(1)节能产品、环境标准产品价格在投标报价中所占比例百分数保留两位小数；表格后附处于有效期之内的节能产品、环境标志产品认证证书（扫描件加盖</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公章）。</w:t>
      </w:r>
    </w:p>
    <w:p>
      <w:pPr>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所填写的内容必须真实、可靠，如有虚假或隐瞒，一经查实将导致投标被拒绝。</w:t>
      </w:r>
    </w:p>
    <w:p>
      <w:pPr>
        <w:rPr>
          <w:rFonts w:hint="eastAsia" w:ascii="宋体" w:hAnsi="宋体" w:eastAsia="宋体" w:cs="宋体"/>
          <w:color w:val="auto"/>
          <w:sz w:val="24"/>
          <w:szCs w:val="24"/>
        </w:rPr>
      </w:pPr>
      <w:r>
        <w:rPr>
          <w:rFonts w:hint="eastAsia" w:ascii="宋体" w:hAnsi="宋体" w:eastAsia="宋体" w:cs="宋体"/>
          <w:color w:val="auto"/>
          <w:sz w:val="24"/>
          <w:szCs w:val="24"/>
        </w:rPr>
        <w:t>（3）此表须</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加盖单位公章，未提供本表的不进行价格扣除。</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（盖单位公章）</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（签字或盖章）</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日</w:t>
      </w:r>
    </w:p>
    <w:p>
      <w:pPr>
        <w:spacing w:before="100" w:beforeAutospacing="1" w:after="100" w:afterAutospacing="1"/>
        <w:jc w:val="center"/>
        <w:outlineLvl w:val="0"/>
        <w:rPr>
          <w:rFonts w:hint="eastAsia" w:ascii="宋体" w:hAnsi="宋体" w:eastAsia="宋体" w:cs="宋体"/>
          <w:color w:val="auto"/>
          <w:kern w:val="0"/>
          <w:sz w:val="24"/>
          <w:szCs w:val="24"/>
        </w:rPr>
      </w:pPr>
      <w:bookmarkStart w:id="275" w:name="_Toc2674"/>
      <w:bookmarkStart w:id="276" w:name="_Toc4283"/>
    </w:p>
    <w:p>
      <w:pPr>
        <w:spacing w:before="100" w:beforeAutospacing="1" w:after="100" w:afterAutospacing="1"/>
        <w:jc w:val="center"/>
        <w:outlineLvl w:val="0"/>
        <w:rPr>
          <w:rFonts w:hint="eastAsia" w:ascii="宋体" w:hAnsi="宋体" w:eastAsia="宋体" w:cs="宋体"/>
          <w:color w:val="auto"/>
          <w:kern w:val="0"/>
          <w:sz w:val="24"/>
          <w:szCs w:val="24"/>
        </w:rPr>
      </w:pPr>
    </w:p>
    <w:p>
      <w:pPr>
        <w:spacing w:before="100" w:beforeAutospacing="1" w:after="100" w:afterAutospacing="1"/>
        <w:jc w:val="center"/>
        <w:outlineLvl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政府强制采购节能产品明细表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如有</w:t>
      </w:r>
      <w:r>
        <w:rPr>
          <w:rFonts w:hint="eastAsia" w:ascii="宋体" w:hAnsi="宋体" w:eastAsia="宋体" w:cs="宋体"/>
          <w:color w:val="auto"/>
          <w:sz w:val="24"/>
          <w:szCs w:val="24"/>
          <w:lang w:eastAsia="zh-CN"/>
        </w:rPr>
        <w:t>）</w:t>
      </w:r>
      <w:bookmarkEnd w:id="275"/>
      <w:bookmarkEnd w:id="276"/>
    </w:p>
    <w:p>
      <w:pPr>
        <w:rPr>
          <w:rFonts w:hint="eastAsia" w:ascii="宋体" w:hAnsi="宋体" w:eastAsia="宋体" w:cs="宋体"/>
          <w:color w:val="auto"/>
          <w:sz w:val="24"/>
          <w:szCs w:val="24"/>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u w:val="single"/>
        </w:rPr>
        <w:t xml:space="preserve">                              </w:t>
      </w:r>
    </w:p>
    <w:p>
      <w:pPr>
        <w:wordWrap w:val="0"/>
        <w:rPr>
          <w:rFonts w:hint="eastAsia" w:ascii="宋体" w:hAnsi="宋体" w:eastAsia="宋体" w:cs="宋体"/>
          <w:color w:val="auto"/>
          <w:sz w:val="24"/>
          <w:szCs w:val="24"/>
          <w:u w:val="single"/>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xml:space="preserve">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077"/>
        <w:gridCol w:w="1079"/>
        <w:gridCol w:w="1081"/>
        <w:gridCol w:w="1239"/>
        <w:gridCol w:w="1274"/>
        <w:gridCol w:w="851"/>
        <w:gridCol w:w="1088"/>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3"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077"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产品名称</w:t>
            </w:r>
          </w:p>
        </w:tc>
        <w:tc>
          <w:tcPr>
            <w:tcW w:w="107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品牌/型号</w:t>
            </w:r>
          </w:p>
        </w:tc>
        <w:tc>
          <w:tcPr>
            <w:tcW w:w="108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厂家/产地</w:t>
            </w:r>
          </w:p>
        </w:tc>
        <w:tc>
          <w:tcPr>
            <w:tcW w:w="1239"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8"/>
                <w:kern w:val="0"/>
                <w:sz w:val="24"/>
                <w:szCs w:val="24"/>
              </w:rPr>
            </w:pPr>
            <w:r>
              <w:rPr>
                <w:rFonts w:hint="eastAsia" w:ascii="宋体" w:hAnsi="宋体" w:eastAsia="宋体" w:cs="宋体"/>
                <w:color w:val="auto"/>
                <w:spacing w:val="-8"/>
                <w:kern w:val="0"/>
                <w:sz w:val="24"/>
                <w:szCs w:val="24"/>
              </w:rPr>
              <w:t>节字标志</w:t>
            </w:r>
          </w:p>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spacing w:val="-8"/>
                <w:kern w:val="0"/>
                <w:sz w:val="24"/>
                <w:szCs w:val="24"/>
              </w:rPr>
              <w:t>认证证书号</w:t>
            </w:r>
          </w:p>
        </w:tc>
        <w:tc>
          <w:tcPr>
            <w:tcW w:w="1274" w:type="dxa"/>
            <w:noWrap w:val="0"/>
            <w:vAlign w:val="center"/>
          </w:tcPr>
          <w:p>
            <w:pPr>
              <w:keepNext w:val="0"/>
              <w:keepLines w:val="0"/>
              <w:pageBreakBefore w:val="0"/>
              <w:widowControl/>
              <w:tabs>
                <w:tab w:val="left" w:pos="3333"/>
              </w:tabs>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节能产品认证证书有效截止日期</w:t>
            </w:r>
          </w:p>
        </w:tc>
        <w:tc>
          <w:tcPr>
            <w:tcW w:w="85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1088"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单价（元）</w:t>
            </w:r>
          </w:p>
        </w:tc>
        <w:tc>
          <w:tcPr>
            <w:tcW w:w="1005"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3"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77"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7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8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3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74"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85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88"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05"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3"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77"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7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8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3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74"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85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88"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05"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3"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77"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7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8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3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74"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85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88"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05"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3"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77"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7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8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3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74"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85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88"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05"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3"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77"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7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8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3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74"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85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88"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05"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3"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77"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7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8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3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74"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85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88"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05"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3"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77"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7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8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3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74"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85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88"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05"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3"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77"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7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8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3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74"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85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88"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05"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3"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77"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7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8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3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74"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85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88"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05"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3"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77"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合计</w:t>
            </w:r>
          </w:p>
        </w:tc>
        <w:tc>
          <w:tcPr>
            <w:tcW w:w="107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8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3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274"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851"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88"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c>
          <w:tcPr>
            <w:tcW w:w="1005"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rPr>
            </w:pPr>
          </w:p>
        </w:tc>
      </w:tr>
    </w:tbl>
    <w:p>
      <w:pPr>
        <w:rPr>
          <w:rFonts w:hint="eastAsia" w:ascii="宋体" w:hAnsi="宋体" w:eastAsia="宋体" w:cs="宋体"/>
          <w:color w:val="auto"/>
          <w:sz w:val="24"/>
          <w:szCs w:val="24"/>
        </w:rPr>
      </w:pPr>
      <w:r>
        <w:rPr>
          <w:rFonts w:hint="eastAsia" w:ascii="宋体" w:hAnsi="宋体" w:eastAsia="宋体" w:cs="宋体"/>
          <w:color w:val="auto"/>
          <w:sz w:val="24"/>
          <w:szCs w:val="24"/>
        </w:rPr>
        <w:t>注：1、政府采购强制节能产品根据财政部、发展改革委公布的《节能产品政府采购品目清单》 确定。 2、强制节能产品按本表逐一填写，否则按无效投标处理。 3、本表中所报产品型号必须与《节能产品政府采购品目清单》一致，节能标志认证证书号、认证证书有效截止日期必须与提交的认证证书原件的扫描件一致，否则按无效投标处理。 4、节能产品认证应依据相关国家标准的最新版本，依据国家标准中二级能效（水效）指标。</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（盖单位公章）</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（签字或盖章）</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日</w:t>
      </w:r>
    </w:p>
    <w:p>
      <w:pPr>
        <w:ind w:left="0" w:leftChars="0" w:firstLine="0" w:firstLineChars="0"/>
        <w:rPr>
          <w:rFonts w:hint="eastAsia" w:ascii="宋体" w:hAnsi="宋体" w:eastAsia="宋体" w:cs="宋体"/>
        </w:rPr>
      </w:pPr>
    </w:p>
    <w:sectPr>
      <w:footerReference r:id="rId11" w:type="first"/>
      <w:headerReference r:id="rId9" w:type="default"/>
      <w:footerReference r:id="rId10" w:type="default"/>
      <w:pgSz w:w="11906" w:h="16838"/>
      <w:pgMar w:top="1440" w:right="1531" w:bottom="1440" w:left="1531" w:header="850" w:footer="964" w:gutter="0"/>
      <w:cols w:space="720" w:num="1"/>
      <w:titlePg/>
      <w:docGrid w:type="linesAndChars" w:linePitch="312" w:charSpace="3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25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2520"/>
      </w:tabs>
    </w:pPr>
    <w: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joinstyle="miter"/>
          <v:imagedata o:title=""/>
          <o:lock v:ext="edit"/>
          <v:textbox inset="0mm,0mm,0mm,0mm" style="mso-fit-shape-to-text:t;">
            <w:txbxContent>
              <w:p>
                <w:pPr>
                  <w:pStyle w:val="14"/>
                </w:pPr>
                <w:r>
                  <w:fldChar w:fldCharType="begin"/>
                </w:r>
                <w:r>
                  <w:instrText xml:space="preserve"> PAGE  \* MERGEFORMAT </w:instrText>
                </w:r>
                <w:r>
                  <w:fldChar w:fldCharType="separate"/>
                </w:r>
                <w:r>
                  <w:t>27</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1028" o:spid="_x0000_s1028"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weight="0.5pt" joinstyle="miter"/>
          <v:imagedata o:title=""/>
          <o:lock v:ext="edit"/>
          <v:textbox inset="0mm,0mm,0mm,0mm" style="mso-fit-shape-to-text:t;">
            <w:txbxContent>
              <w:p>
                <w:pPr>
                  <w:pStyle w:val="14"/>
                </w:pPr>
                <w:r>
                  <w:fldChar w:fldCharType="begin"/>
                </w:r>
                <w:r>
                  <w:instrText xml:space="preserve"> PAGE  \* MERGEFORMAT </w:instrText>
                </w:r>
                <w:r>
                  <w:fldChar w:fldCharType="separate"/>
                </w:r>
                <w:r>
                  <w:t>31</w:t>
                </w:r>
                <w:r>
                  <w:fldChar w:fldCharType="end"/>
                </w:r>
              </w:p>
            </w:txbxContent>
          </v:textbox>
        </v:shape>
      </w:pict>
    </w:r>
    <w:r>
      <w:rPr>
        <w:sz w:val="18"/>
      </w:rPr>
      <w:pict>
        <v:shape id="_x0000_s1027" o:spid="_x0000_s1027" o:spt="202" type="#_x0000_t202" style="position:absolute;left:0pt;margin-top:0pt;height:12.05pt;width:9.05pt;mso-position-horizontal:right;mso-position-horizontal-relative:margin;mso-wrap-style:none;z-index:251660288;mso-width-relative:page;mso-height-relative:page;" filled="f" stroked="f" coordsize="21600,21600" o:gfxdata="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K7PZT1AAAAAMBAAAPAAAAAAAAAAEA&#10;IAAAACIAAABkcnMvZG93bnJldi54bWxQSwECFAAUAAAACACHTuJAC8RtNtoBAACvAwAADgAAAAAA&#10;AAABACAAAAAjAQAAZHJzL2Uyb0RvYy54bWxQSwUGAAAAAAYABgBZAQAAbwUAAAAA&#10;">
          <v:path/>
          <v:fill on="f" focussize="0,0"/>
          <v:stroke on="f" weight="1.25pt" joinstyle="miter"/>
          <v:imagedata o:title=""/>
          <o:lock v:ext="edit"/>
          <v:textbox inset="0mm,0mm,0mm,0mm" style="mso-fit-shape-to-text:t;">
            <w:txbxContent>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rPr>
      <w:pict>
        <v:shape id="_x0000_s1030" o:spid="_x0000_s1030"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weight="0.5pt" joinstyle="miter"/>
          <v:imagedata o:title=""/>
          <o:lock v:ext="edit"/>
          <v:textbox inset="0mm,0mm,0mm,0mm" style="mso-fit-shape-to-text:t;">
            <w:txbxContent>
              <w:p>
                <w:pPr>
                  <w:pStyle w:val="14"/>
                </w:pPr>
                <w:r>
                  <w:fldChar w:fldCharType="begin"/>
                </w:r>
                <w:r>
                  <w:instrText xml:space="preserve"> PAGE  \* MERGEFORMAT </w:instrText>
                </w:r>
                <w:r>
                  <w:fldChar w:fldCharType="separate"/>
                </w:r>
                <w:r>
                  <w:t>28</w:t>
                </w:r>
                <w:r>
                  <w:fldChar w:fldCharType="end"/>
                </w:r>
              </w:p>
            </w:txbxContent>
          </v:textbox>
        </v:shape>
      </w:pict>
    </w:r>
    <w:r>
      <w:rPr>
        <w:sz w:val="18"/>
      </w:rPr>
      <w:pict>
        <v:shape id="_x0000_s1029" o:spid="_x0000_s1029" o:spt="202" type="#_x0000_t202" style="position:absolute;left:0pt;margin-top:0pt;height:12.05pt;width:9.05pt;mso-position-horizontal:right;mso-position-horizontal-relative:margin;mso-wrap-style:none;z-index:251659264;mso-width-relative:page;mso-height-relative:page;" filled="f" stroked="f" coordsize="21600,21600" o:gfxdata="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Cuz2U9QAAAADAQAADwAAAAAAAAAB&#10;ACAAAAAiAAAAZHJzL2Rvd25yZXYueG1sUEsBAhQAFAAAAAgAh07iQKrIxQjbAQAArwMAAA4AAAAA&#10;AAAAAQAgAAAAIwEAAGRycy9lMm9Eb2MueG1sUEsFBgAAAAAGAAYAWQEAAHAFAAAAAA==&#10;">
          <v:path/>
          <v:fill on="f" focussize="0,0"/>
          <v:stroke on="f" weight="1.25pt" joinstyle="miter"/>
          <v:imagedata o:title=""/>
          <o:lock v:ext="edit"/>
          <v:textbox inset="0mm,0mm,0mm,0mm" style="mso-fit-shape-to-text:t;">
            <w:txbxContent>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ind w:left="0" w:leftChars="0" w:firstLine="0" w:firstLineChars="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ind w:left="0" w:leftChars="0" w:firstLine="0" w:firstLineChars="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AC116"/>
    <w:multiLevelType w:val="singleLevel"/>
    <w:tmpl w:val="979AC116"/>
    <w:lvl w:ilvl="0" w:tentative="0">
      <w:start w:val="1"/>
      <w:numFmt w:val="decimal"/>
      <w:suff w:val="nothing"/>
      <w:lvlText w:val="%1、"/>
      <w:lvlJc w:val="left"/>
    </w:lvl>
  </w:abstractNum>
  <w:abstractNum w:abstractNumId="1">
    <w:nsid w:val="C6035B91"/>
    <w:multiLevelType w:val="singleLevel"/>
    <w:tmpl w:val="C6035B91"/>
    <w:lvl w:ilvl="0" w:tentative="0">
      <w:start w:val="1"/>
      <w:numFmt w:val="decimal"/>
      <w:lvlText w:val="%1."/>
      <w:lvlJc w:val="left"/>
      <w:pPr>
        <w:tabs>
          <w:tab w:val="left" w:pos="312"/>
        </w:tabs>
      </w:pPr>
    </w:lvl>
  </w:abstractNum>
  <w:abstractNum w:abstractNumId="2">
    <w:nsid w:val="00000007"/>
    <w:multiLevelType w:val="multilevel"/>
    <w:tmpl w:val="00000007"/>
    <w:lvl w:ilvl="0" w:tentative="0">
      <w:start w:val="1"/>
      <w:numFmt w:val="chineseCountingThousand"/>
      <w:lvlText w:val="第%1部分"/>
      <w:lvlJc w:val="left"/>
      <w:pPr>
        <w:tabs>
          <w:tab w:val="left" w:pos="1440"/>
        </w:tabs>
        <w:ind w:left="0" w:firstLine="0"/>
      </w:pPr>
      <w:rPr>
        <w:rFonts w:hint="eastAsia"/>
      </w:rPr>
    </w:lvl>
    <w:lvl w:ilvl="1" w:tentative="0">
      <w:start w:val="2"/>
      <w:numFmt w:val="japaneseCounting"/>
      <w:pStyle w:val="32"/>
      <w:lvlText w:val="%2、"/>
      <w:lvlJc w:val="left"/>
      <w:pPr>
        <w:tabs>
          <w:tab w:val="left" w:pos="1140"/>
        </w:tabs>
        <w:ind w:left="1140" w:hanging="720"/>
      </w:pPr>
      <w:rPr>
        <w:rFonts w:hint="default"/>
        <w:b/>
      </w:rPr>
    </w:lvl>
    <w:lvl w:ilvl="2" w:tentative="0">
      <w:start w:val="1"/>
      <w:numFmt w:val="lowerRoman"/>
      <w:pStyle w:val="5"/>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11"/>
    <w:multiLevelType w:val="multilevel"/>
    <w:tmpl w:val="00000011"/>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0000001A"/>
    <w:multiLevelType w:val="multilevel"/>
    <w:tmpl w:val="0000001A"/>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0000001B"/>
    <w:multiLevelType w:val="multilevel"/>
    <w:tmpl w:val="0000001B"/>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2F29AA6"/>
    <w:multiLevelType w:val="singleLevel"/>
    <w:tmpl w:val="02F29AA6"/>
    <w:lvl w:ilvl="0" w:tentative="0">
      <w:start w:val="1"/>
      <w:numFmt w:val="chineseCounting"/>
      <w:suff w:val="space"/>
      <w:lvlText w:val="第%1章"/>
      <w:lvlJc w:val="left"/>
      <w:rPr>
        <w:rFonts w:hint="eastAsia"/>
      </w:rPr>
    </w:lvl>
  </w:abstractNum>
  <w:abstractNum w:abstractNumId="7">
    <w:nsid w:val="11670F51"/>
    <w:multiLevelType w:val="singleLevel"/>
    <w:tmpl w:val="11670F51"/>
    <w:lvl w:ilvl="0" w:tentative="0">
      <w:start w:val="6"/>
      <w:numFmt w:val="chineseCounting"/>
      <w:suff w:val="nothing"/>
      <w:lvlText w:val="%1、"/>
      <w:lvlJc w:val="left"/>
      <w:rPr>
        <w:rFonts w:hint="eastAsia"/>
      </w:rPr>
    </w:lvl>
  </w:abstractNum>
  <w:abstractNum w:abstractNumId="8">
    <w:nsid w:val="159F2BF0"/>
    <w:multiLevelType w:val="multilevel"/>
    <w:tmpl w:val="159F2BF0"/>
    <w:lvl w:ilvl="0" w:tentative="0">
      <w:start w:val="1"/>
      <w:numFmt w:val="decimal"/>
      <w:lvlText w:val="%1."/>
      <w:lvlJc w:val="left"/>
      <w:pPr>
        <w:ind w:left="631" w:hanging="420"/>
      </w:pPr>
    </w:lvl>
    <w:lvl w:ilvl="1" w:tentative="0">
      <w:start w:val="1"/>
      <w:numFmt w:val="lowerLetter"/>
      <w:lvlText w:val="%2)"/>
      <w:lvlJc w:val="left"/>
      <w:pPr>
        <w:ind w:left="1051" w:hanging="420"/>
      </w:pPr>
    </w:lvl>
    <w:lvl w:ilvl="2" w:tentative="0">
      <w:start w:val="1"/>
      <w:numFmt w:val="lowerRoman"/>
      <w:lvlText w:val="%3."/>
      <w:lvlJc w:val="right"/>
      <w:pPr>
        <w:ind w:left="1471" w:hanging="420"/>
      </w:pPr>
    </w:lvl>
    <w:lvl w:ilvl="3" w:tentative="0">
      <w:start w:val="1"/>
      <w:numFmt w:val="decimal"/>
      <w:lvlText w:val="%4."/>
      <w:lvlJc w:val="left"/>
      <w:pPr>
        <w:ind w:left="1891" w:hanging="420"/>
      </w:pPr>
    </w:lvl>
    <w:lvl w:ilvl="4" w:tentative="0">
      <w:start w:val="1"/>
      <w:numFmt w:val="lowerLetter"/>
      <w:lvlText w:val="%5)"/>
      <w:lvlJc w:val="left"/>
      <w:pPr>
        <w:ind w:left="2311" w:hanging="420"/>
      </w:pPr>
    </w:lvl>
    <w:lvl w:ilvl="5" w:tentative="0">
      <w:start w:val="1"/>
      <w:numFmt w:val="lowerRoman"/>
      <w:lvlText w:val="%6."/>
      <w:lvlJc w:val="right"/>
      <w:pPr>
        <w:ind w:left="2731" w:hanging="420"/>
      </w:pPr>
    </w:lvl>
    <w:lvl w:ilvl="6" w:tentative="0">
      <w:start w:val="1"/>
      <w:numFmt w:val="decimal"/>
      <w:lvlText w:val="%7."/>
      <w:lvlJc w:val="left"/>
      <w:pPr>
        <w:ind w:left="3151" w:hanging="420"/>
      </w:pPr>
    </w:lvl>
    <w:lvl w:ilvl="7" w:tentative="0">
      <w:start w:val="1"/>
      <w:numFmt w:val="lowerLetter"/>
      <w:lvlText w:val="%8)"/>
      <w:lvlJc w:val="left"/>
      <w:pPr>
        <w:ind w:left="3571" w:hanging="420"/>
      </w:pPr>
    </w:lvl>
    <w:lvl w:ilvl="8" w:tentative="0">
      <w:start w:val="1"/>
      <w:numFmt w:val="lowerRoman"/>
      <w:lvlText w:val="%9."/>
      <w:lvlJc w:val="right"/>
      <w:pPr>
        <w:ind w:left="3991" w:hanging="420"/>
      </w:pPr>
    </w:lvl>
  </w:abstractNum>
  <w:abstractNum w:abstractNumId="9">
    <w:nsid w:val="16B554B7"/>
    <w:multiLevelType w:val="multilevel"/>
    <w:tmpl w:val="16B554B7"/>
    <w:lvl w:ilvl="0" w:tentative="0">
      <w:start w:val="1"/>
      <w:numFmt w:val="decimal"/>
      <w:lvlText w:val="%1."/>
      <w:lvlJc w:val="left"/>
      <w:pPr>
        <w:ind w:left="631" w:hanging="420"/>
      </w:pPr>
    </w:lvl>
    <w:lvl w:ilvl="1" w:tentative="0">
      <w:start w:val="1"/>
      <w:numFmt w:val="decimal"/>
      <w:isLgl/>
      <w:lvlText w:val="%1.%2"/>
      <w:lvlJc w:val="left"/>
      <w:pPr>
        <w:ind w:left="571" w:hanging="360"/>
      </w:pPr>
      <w:rPr>
        <w:rFonts w:hint="default"/>
      </w:rPr>
    </w:lvl>
    <w:lvl w:ilvl="2" w:tentative="0">
      <w:start w:val="1"/>
      <w:numFmt w:val="decimal"/>
      <w:isLgl/>
      <w:lvlText w:val="%1.%2.%3"/>
      <w:lvlJc w:val="left"/>
      <w:pPr>
        <w:ind w:left="931" w:hanging="720"/>
      </w:pPr>
      <w:rPr>
        <w:rFonts w:hint="default"/>
      </w:rPr>
    </w:lvl>
    <w:lvl w:ilvl="3" w:tentative="0">
      <w:start w:val="1"/>
      <w:numFmt w:val="decimal"/>
      <w:isLgl/>
      <w:lvlText w:val="%1.%2.%3.%4"/>
      <w:lvlJc w:val="left"/>
      <w:pPr>
        <w:ind w:left="1291" w:hanging="1080"/>
      </w:pPr>
      <w:rPr>
        <w:rFonts w:hint="default"/>
      </w:rPr>
    </w:lvl>
    <w:lvl w:ilvl="4" w:tentative="0">
      <w:start w:val="1"/>
      <w:numFmt w:val="decimal"/>
      <w:isLgl/>
      <w:lvlText w:val="%1.%2.%3.%4.%5"/>
      <w:lvlJc w:val="left"/>
      <w:pPr>
        <w:ind w:left="1291" w:hanging="1080"/>
      </w:pPr>
      <w:rPr>
        <w:rFonts w:hint="default"/>
      </w:rPr>
    </w:lvl>
    <w:lvl w:ilvl="5" w:tentative="0">
      <w:start w:val="1"/>
      <w:numFmt w:val="decimal"/>
      <w:isLgl/>
      <w:lvlText w:val="%1.%2.%3.%4.%5.%6"/>
      <w:lvlJc w:val="left"/>
      <w:pPr>
        <w:ind w:left="1651" w:hanging="1440"/>
      </w:pPr>
      <w:rPr>
        <w:rFonts w:hint="default"/>
      </w:rPr>
    </w:lvl>
    <w:lvl w:ilvl="6" w:tentative="0">
      <w:start w:val="1"/>
      <w:numFmt w:val="decimal"/>
      <w:isLgl/>
      <w:lvlText w:val="%1.%2.%3.%4.%5.%6.%7"/>
      <w:lvlJc w:val="left"/>
      <w:pPr>
        <w:ind w:left="1651" w:hanging="1440"/>
      </w:pPr>
      <w:rPr>
        <w:rFonts w:hint="default"/>
      </w:rPr>
    </w:lvl>
    <w:lvl w:ilvl="7" w:tentative="0">
      <w:start w:val="1"/>
      <w:numFmt w:val="decimal"/>
      <w:isLgl/>
      <w:lvlText w:val="%1.%2.%3.%4.%5.%6.%7.%8"/>
      <w:lvlJc w:val="left"/>
      <w:pPr>
        <w:ind w:left="2011" w:hanging="1800"/>
      </w:pPr>
      <w:rPr>
        <w:rFonts w:hint="default"/>
      </w:rPr>
    </w:lvl>
    <w:lvl w:ilvl="8" w:tentative="0">
      <w:start w:val="1"/>
      <w:numFmt w:val="decimal"/>
      <w:isLgl/>
      <w:lvlText w:val="%1.%2.%3.%4.%5.%6.%7.%8.%9"/>
      <w:lvlJc w:val="left"/>
      <w:pPr>
        <w:ind w:left="2011" w:hanging="1800"/>
      </w:pPr>
      <w:rPr>
        <w:rFonts w:hint="default"/>
      </w:rPr>
    </w:lvl>
  </w:abstractNum>
  <w:abstractNum w:abstractNumId="10">
    <w:nsid w:val="19906B50"/>
    <w:multiLevelType w:val="multilevel"/>
    <w:tmpl w:val="19906B50"/>
    <w:lvl w:ilvl="0" w:tentative="0">
      <w:start w:val="1"/>
      <w:numFmt w:val="decimal"/>
      <w:lvlText w:val="%1."/>
      <w:lvlJc w:val="left"/>
      <w:pPr>
        <w:ind w:left="631" w:hanging="420"/>
      </w:pPr>
    </w:lvl>
    <w:lvl w:ilvl="1" w:tentative="0">
      <w:start w:val="1"/>
      <w:numFmt w:val="lowerLetter"/>
      <w:lvlText w:val="%2)"/>
      <w:lvlJc w:val="left"/>
      <w:pPr>
        <w:ind w:left="1051" w:hanging="420"/>
      </w:pPr>
    </w:lvl>
    <w:lvl w:ilvl="2" w:tentative="0">
      <w:start w:val="1"/>
      <w:numFmt w:val="lowerRoman"/>
      <w:lvlText w:val="%3."/>
      <w:lvlJc w:val="right"/>
      <w:pPr>
        <w:ind w:left="1471" w:hanging="420"/>
      </w:pPr>
    </w:lvl>
    <w:lvl w:ilvl="3" w:tentative="0">
      <w:start w:val="1"/>
      <w:numFmt w:val="decimal"/>
      <w:lvlText w:val="%4."/>
      <w:lvlJc w:val="left"/>
      <w:pPr>
        <w:ind w:left="1891" w:hanging="420"/>
      </w:pPr>
    </w:lvl>
    <w:lvl w:ilvl="4" w:tentative="0">
      <w:start w:val="1"/>
      <w:numFmt w:val="lowerLetter"/>
      <w:lvlText w:val="%5)"/>
      <w:lvlJc w:val="left"/>
      <w:pPr>
        <w:ind w:left="2311" w:hanging="420"/>
      </w:pPr>
    </w:lvl>
    <w:lvl w:ilvl="5" w:tentative="0">
      <w:start w:val="1"/>
      <w:numFmt w:val="lowerRoman"/>
      <w:lvlText w:val="%6."/>
      <w:lvlJc w:val="right"/>
      <w:pPr>
        <w:ind w:left="2731" w:hanging="420"/>
      </w:pPr>
    </w:lvl>
    <w:lvl w:ilvl="6" w:tentative="0">
      <w:start w:val="1"/>
      <w:numFmt w:val="decimal"/>
      <w:lvlText w:val="%7."/>
      <w:lvlJc w:val="left"/>
      <w:pPr>
        <w:ind w:left="3151" w:hanging="420"/>
      </w:pPr>
    </w:lvl>
    <w:lvl w:ilvl="7" w:tentative="0">
      <w:start w:val="1"/>
      <w:numFmt w:val="lowerLetter"/>
      <w:lvlText w:val="%8)"/>
      <w:lvlJc w:val="left"/>
      <w:pPr>
        <w:ind w:left="3571" w:hanging="420"/>
      </w:pPr>
    </w:lvl>
    <w:lvl w:ilvl="8" w:tentative="0">
      <w:start w:val="1"/>
      <w:numFmt w:val="lowerRoman"/>
      <w:lvlText w:val="%9."/>
      <w:lvlJc w:val="right"/>
      <w:pPr>
        <w:ind w:left="3991" w:hanging="420"/>
      </w:pPr>
    </w:lvl>
  </w:abstractNum>
  <w:abstractNum w:abstractNumId="11">
    <w:nsid w:val="21C532B0"/>
    <w:multiLevelType w:val="multilevel"/>
    <w:tmpl w:val="21C532B0"/>
    <w:lvl w:ilvl="0" w:tentative="0">
      <w:start w:val="1"/>
      <w:numFmt w:val="decimal"/>
      <w:lvlText w:val="%1."/>
      <w:lvlJc w:val="left"/>
      <w:pPr>
        <w:ind w:left="360" w:hanging="360"/>
      </w:pPr>
      <w:rPr>
        <w:rFonts w:hint="default"/>
        <w:color w:val="000000"/>
        <w:sz w:val="20"/>
        <w:szCs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E8E242F"/>
    <w:multiLevelType w:val="singleLevel"/>
    <w:tmpl w:val="2E8E242F"/>
    <w:lvl w:ilvl="0" w:tentative="0">
      <w:start w:val="25"/>
      <w:numFmt w:val="decimal"/>
      <w:lvlText w:val="%1."/>
      <w:lvlJc w:val="left"/>
      <w:pPr>
        <w:tabs>
          <w:tab w:val="left" w:pos="312"/>
        </w:tabs>
      </w:pPr>
    </w:lvl>
  </w:abstractNum>
  <w:abstractNum w:abstractNumId="13">
    <w:nsid w:val="3516413D"/>
    <w:multiLevelType w:val="multilevel"/>
    <w:tmpl w:val="3516413D"/>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1" w:hanging="851"/>
      </w:pPr>
      <w:rPr>
        <w:rFonts w:hint="default"/>
      </w:rPr>
    </w:lvl>
    <w:lvl w:ilvl="4" w:tentative="0">
      <w:start w:val="1"/>
      <w:numFmt w:val="decimal"/>
      <w:lvlText w:val="%1.%2.%3.%4.%5."/>
      <w:lvlJc w:val="left"/>
      <w:pPr>
        <w:ind w:left="992" w:hanging="992"/>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6" w:hanging="1276"/>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9" w:hanging="1559"/>
      </w:pPr>
      <w:rPr>
        <w:rFonts w:hint="default"/>
      </w:rPr>
    </w:lvl>
  </w:abstractNum>
  <w:abstractNum w:abstractNumId="14">
    <w:nsid w:val="35FE1D30"/>
    <w:multiLevelType w:val="multilevel"/>
    <w:tmpl w:val="35FE1D30"/>
    <w:lvl w:ilvl="0" w:tentative="0">
      <w:start w:val="1"/>
      <w:numFmt w:val="decimal"/>
      <w:lvlText w:val="%1."/>
      <w:lvlJc w:val="left"/>
      <w:pPr>
        <w:ind w:left="631" w:hanging="420"/>
      </w:pPr>
    </w:lvl>
    <w:lvl w:ilvl="1" w:tentative="0">
      <w:start w:val="1"/>
      <w:numFmt w:val="lowerLetter"/>
      <w:lvlText w:val="%2)"/>
      <w:lvlJc w:val="left"/>
      <w:pPr>
        <w:ind w:left="1051" w:hanging="420"/>
      </w:pPr>
    </w:lvl>
    <w:lvl w:ilvl="2" w:tentative="0">
      <w:start w:val="1"/>
      <w:numFmt w:val="lowerRoman"/>
      <w:lvlText w:val="%3."/>
      <w:lvlJc w:val="right"/>
      <w:pPr>
        <w:ind w:left="1471" w:hanging="420"/>
      </w:pPr>
    </w:lvl>
    <w:lvl w:ilvl="3" w:tentative="0">
      <w:start w:val="1"/>
      <w:numFmt w:val="decimal"/>
      <w:lvlText w:val="%4."/>
      <w:lvlJc w:val="left"/>
      <w:pPr>
        <w:ind w:left="1891" w:hanging="420"/>
      </w:pPr>
    </w:lvl>
    <w:lvl w:ilvl="4" w:tentative="0">
      <w:start w:val="1"/>
      <w:numFmt w:val="lowerLetter"/>
      <w:lvlText w:val="%5)"/>
      <w:lvlJc w:val="left"/>
      <w:pPr>
        <w:ind w:left="2311" w:hanging="420"/>
      </w:pPr>
    </w:lvl>
    <w:lvl w:ilvl="5" w:tentative="0">
      <w:start w:val="1"/>
      <w:numFmt w:val="lowerRoman"/>
      <w:lvlText w:val="%6."/>
      <w:lvlJc w:val="right"/>
      <w:pPr>
        <w:ind w:left="2731" w:hanging="420"/>
      </w:pPr>
    </w:lvl>
    <w:lvl w:ilvl="6" w:tentative="0">
      <w:start w:val="1"/>
      <w:numFmt w:val="decimal"/>
      <w:lvlText w:val="%7."/>
      <w:lvlJc w:val="left"/>
      <w:pPr>
        <w:ind w:left="3151" w:hanging="420"/>
      </w:pPr>
    </w:lvl>
    <w:lvl w:ilvl="7" w:tentative="0">
      <w:start w:val="1"/>
      <w:numFmt w:val="lowerLetter"/>
      <w:lvlText w:val="%8)"/>
      <w:lvlJc w:val="left"/>
      <w:pPr>
        <w:ind w:left="3571" w:hanging="420"/>
      </w:pPr>
    </w:lvl>
    <w:lvl w:ilvl="8" w:tentative="0">
      <w:start w:val="1"/>
      <w:numFmt w:val="lowerRoman"/>
      <w:lvlText w:val="%9."/>
      <w:lvlJc w:val="right"/>
      <w:pPr>
        <w:ind w:left="3991" w:hanging="420"/>
      </w:pPr>
    </w:lvl>
  </w:abstractNum>
  <w:abstractNum w:abstractNumId="15">
    <w:nsid w:val="377C58AD"/>
    <w:multiLevelType w:val="multilevel"/>
    <w:tmpl w:val="377C58AD"/>
    <w:lvl w:ilvl="0" w:tentative="0">
      <w:start w:val="1"/>
      <w:numFmt w:val="decimal"/>
      <w:lvlText w:val="%1."/>
      <w:lvlJc w:val="left"/>
      <w:pPr>
        <w:ind w:left="631" w:hanging="420"/>
      </w:pPr>
    </w:lvl>
    <w:lvl w:ilvl="1" w:tentative="0">
      <w:start w:val="1"/>
      <w:numFmt w:val="lowerLetter"/>
      <w:lvlText w:val="%2)"/>
      <w:lvlJc w:val="left"/>
      <w:pPr>
        <w:ind w:left="1051" w:hanging="420"/>
      </w:pPr>
    </w:lvl>
    <w:lvl w:ilvl="2" w:tentative="0">
      <w:start w:val="1"/>
      <w:numFmt w:val="lowerRoman"/>
      <w:lvlText w:val="%3."/>
      <w:lvlJc w:val="right"/>
      <w:pPr>
        <w:ind w:left="1471" w:hanging="420"/>
      </w:pPr>
    </w:lvl>
    <w:lvl w:ilvl="3" w:tentative="0">
      <w:start w:val="1"/>
      <w:numFmt w:val="decimal"/>
      <w:lvlText w:val="%4."/>
      <w:lvlJc w:val="left"/>
      <w:pPr>
        <w:ind w:left="1891" w:hanging="420"/>
      </w:pPr>
    </w:lvl>
    <w:lvl w:ilvl="4" w:tentative="0">
      <w:start w:val="1"/>
      <w:numFmt w:val="lowerLetter"/>
      <w:lvlText w:val="%5)"/>
      <w:lvlJc w:val="left"/>
      <w:pPr>
        <w:ind w:left="2311" w:hanging="420"/>
      </w:pPr>
    </w:lvl>
    <w:lvl w:ilvl="5" w:tentative="0">
      <w:start w:val="1"/>
      <w:numFmt w:val="lowerRoman"/>
      <w:lvlText w:val="%6."/>
      <w:lvlJc w:val="right"/>
      <w:pPr>
        <w:ind w:left="2731" w:hanging="420"/>
      </w:pPr>
    </w:lvl>
    <w:lvl w:ilvl="6" w:tentative="0">
      <w:start w:val="1"/>
      <w:numFmt w:val="decimal"/>
      <w:lvlText w:val="%7."/>
      <w:lvlJc w:val="left"/>
      <w:pPr>
        <w:ind w:left="3151" w:hanging="420"/>
      </w:pPr>
    </w:lvl>
    <w:lvl w:ilvl="7" w:tentative="0">
      <w:start w:val="1"/>
      <w:numFmt w:val="lowerLetter"/>
      <w:lvlText w:val="%8)"/>
      <w:lvlJc w:val="left"/>
      <w:pPr>
        <w:ind w:left="3571" w:hanging="420"/>
      </w:pPr>
    </w:lvl>
    <w:lvl w:ilvl="8" w:tentative="0">
      <w:start w:val="1"/>
      <w:numFmt w:val="lowerRoman"/>
      <w:lvlText w:val="%9."/>
      <w:lvlJc w:val="right"/>
      <w:pPr>
        <w:ind w:left="3991" w:hanging="420"/>
      </w:pPr>
    </w:lvl>
  </w:abstractNum>
  <w:abstractNum w:abstractNumId="16">
    <w:nsid w:val="50EE6FC6"/>
    <w:multiLevelType w:val="multilevel"/>
    <w:tmpl w:val="50EE6FC6"/>
    <w:lvl w:ilvl="0" w:tentative="0">
      <w:start w:val="1"/>
      <w:numFmt w:val="decimal"/>
      <w:lvlText w:val="%1."/>
      <w:lvlJc w:val="left"/>
      <w:pPr>
        <w:ind w:left="631" w:hanging="420"/>
      </w:pPr>
    </w:lvl>
    <w:lvl w:ilvl="1" w:tentative="0">
      <w:start w:val="1"/>
      <w:numFmt w:val="decimal"/>
      <w:isLgl/>
      <w:lvlText w:val="%1.%2"/>
      <w:lvlJc w:val="left"/>
      <w:pPr>
        <w:ind w:left="571" w:hanging="360"/>
      </w:pPr>
      <w:rPr>
        <w:rFonts w:hint="default"/>
      </w:rPr>
    </w:lvl>
    <w:lvl w:ilvl="2" w:tentative="0">
      <w:start w:val="1"/>
      <w:numFmt w:val="decimal"/>
      <w:isLgl/>
      <w:lvlText w:val="%1.%2.%3"/>
      <w:lvlJc w:val="left"/>
      <w:pPr>
        <w:ind w:left="931" w:hanging="720"/>
      </w:pPr>
      <w:rPr>
        <w:rFonts w:hint="default"/>
      </w:rPr>
    </w:lvl>
    <w:lvl w:ilvl="3" w:tentative="0">
      <w:start w:val="1"/>
      <w:numFmt w:val="decimal"/>
      <w:isLgl/>
      <w:lvlText w:val="%1.%2.%3.%4"/>
      <w:lvlJc w:val="left"/>
      <w:pPr>
        <w:ind w:left="1291" w:hanging="1080"/>
      </w:pPr>
      <w:rPr>
        <w:rFonts w:hint="default"/>
      </w:rPr>
    </w:lvl>
    <w:lvl w:ilvl="4" w:tentative="0">
      <w:start w:val="1"/>
      <w:numFmt w:val="decimal"/>
      <w:isLgl/>
      <w:lvlText w:val="%1.%2.%3.%4.%5"/>
      <w:lvlJc w:val="left"/>
      <w:pPr>
        <w:ind w:left="1291" w:hanging="1080"/>
      </w:pPr>
      <w:rPr>
        <w:rFonts w:hint="default"/>
      </w:rPr>
    </w:lvl>
    <w:lvl w:ilvl="5" w:tentative="0">
      <w:start w:val="1"/>
      <w:numFmt w:val="decimal"/>
      <w:isLgl/>
      <w:lvlText w:val="%1.%2.%3.%4.%5.%6"/>
      <w:lvlJc w:val="left"/>
      <w:pPr>
        <w:ind w:left="1651" w:hanging="1440"/>
      </w:pPr>
      <w:rPr>
        <w:rFonts w:hint="default"/>
      </w:rPr>
    </w:lvl>
    <w:lvl w:ilvl="6" w:tentative="0">
      <w:start w:val="1"/>
      <w:numFmt w:val="decimal"/>
      <w:isLgl/>
      <w:lvlText w:val="%1.%2.%3.%4.%5.%6.%7"/>
      <w:lvlJc w:val="left"/>
      <w:pPr>
        <w:ind w:left="1651" w:hanging="1440"/>
      </w:pPr>
      <w:rPr>
        <w:rFonts w:hint="default"/>
      </w:rPr>
    </w:lvl>
    <w:lvl w:ilvl="7" w:tentative="0">
      <w:start w:val="1"/>
      <w:numFmt w:val="decimal"/>
      <w:isLgl/>
      <w:lvlText w:val="%1.%2.%3.%4.%5.%6.%7.%8"/>
      <w:lvlJc w:val="left"/>
      <w:pPr>
        <w:ind w:left="2011" w:hanging="1800"/>
      </w:pPr>
      <w:rPr>
        <w:rFonts w:hint="default"/>
      </w:rPr>
    </w:lvl>
    <w:lvl w:ilvl="8" w:tentative="0">
      <w:start w:val="1"/>
      <w:numFmt w:val="decimal"/>
      <w:isLgl/>
      <w:lvlText w:val="%1.%2.%3.%4.%5.%6.%7.%8.%9"/>
      <w:lvlJc w:val="left"/>
      <w:pPr>
        <w:ind w:left="2011" w:hanging="1800"/>
      </w:pPr>
      <w:rPr>
        <w:rFonts w:hint="default"/>
      </w:rPr>
    </w:lvl>
  </w:abstractNum>
  <w:abstractNum w:abstractNumId="17">
    <w:nsid w:val="510906F4"/>
    <w:multiLevelType w:val="multilevel"/>
    <w:tmpl w:val="510906F4"/>
    <w:lvl w:ilvl="0" w:tentative="0">
      <w:start w:val="1"/>
      <w:numFmt w:val="decimal"/>
      <w:lvlText w:val="%1."/>
      <w:lvlJc w:val="left"/>
      <w:pPr>
        <w:ind w:left="631" w:hanging="420"/>
      </w:pPr>
    </w:lvl>
    <w:lvl w:ilvl="1" w:tentative="0">
      <w:start w:val="1"/>
      <w:numFmt w:val="lowerLetter"/>
      <w:lvlText w:val="%2)"/>
      <w:lvlJc w:val="left"/>
      <w:pPr>
        <w:ind w:left="1051" w:hanging="420"/>
      </w:pPr>
    </w:lvl>
    <w:lvl w:ilvl="2" w:tentative="0">
      <w:start w:val="1"/>
      <w:numFmt w:val="lowerRoman"/>
      <w:lvlText w:val="%3."/>
      <w:lvlJc w:val="right"/>
      <w:pPr>
        <w:ind w:left="1471" w:hanging="420"/>
      </w:pPr>
    </w:lvl>
    <w:lvl w:ilvl="3" w:tentative="0">
      <w:start w:val="1"/>
      <w:numFmt w:val="decimal"/>
      <w:lvlText w:val="%4."/>
      <w:lvlJc w:val="left"/>
      <w:pPr>
        <w:ind w:left="1891" w:hanging="420"/>
      </w:pPr>
    </w:lvl>
    <w:lvl w:ilvl="4" w:tentative="0">
      <w:start w:val="1"/>
      <w:numFmt w:val="lowerLetter"/>
      <w:lvlText w:val="%5)"/>
      <w:lvlJc w:val="left"/>
      <w:pPr>
        <w:ind w:left="2311" w:hanging="420"/>
      </w:pPr>
    </w:lvl>
    <w:lvl w:ilvl="5" w:tentative="0">
      <w:start w:val="1"/>
      <w:numFmt w:val="lowerRoman"/>
      <w:lvlText w:val="%6."/>
      <w:lvlJc w:val="right"/>
      <w:pPr>
        <w:ind w:left="2731" w:hanging="420"/>
      </w:pPr>
    </w:lvl>
    <w:lvl w:ilvl="6" w:tentative="0">
      <w:start w:val="1"/>
      <w:numFmt w:val="decimal"/>
      <w:lvlText w:val="%7."/>
      <w:lvlJc w:val="left"/>
      <w:pPr>
        <w:ind w:left="3151" w:hanging="420"/>
      </w:pPr>
    </w:lvl>
    <w:lvl w:ilvl="7" w:tentative="0">
      <w:start w:val="1"/>
      <w:numFmt w:val="lowerLetter"/>
      <w:lvlText w:val="%8)"/>
      <w:lvlJc w:val="left"/>
      <w:pPr>
        <w:ind w:left="3571" w:hanging="420"/>
      </w:pPr>
    </w:lvl>
    <w:lvl w:ilvl="8" w:tentative="0">
      <w:start w:val="1"/>
      <w:numFmt w:val="lowerRoman"/>
      <w:lvlText w:val="%9."/>
      <w:lvlJc w:val="right"/>
      <w:pPr>
        <w:ind w:left="3991" w:hanging="420"/>
      </w:pPr>
    </w:lvl>
  </w:abstractNum>
  <w:abstractNum w:abstractNumId="18">
    <w:nsid w:val="539C3D9B"/>
    <w:multiLevelType w:val="multilevel"/>
    <w:tmpl w:val="539C3D9B"/>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40930A4"/>
    <w:multiLevelType w:val="multilevel"/>
    <w:tmpl w:val="540930A4"/>
    <w:lvl w:ilvl="0" w:tentative="0">
      <w:start w:val="1"/>
      <w:numFmt w:val="decimal"/>
      <w:lvlText w:val="%1."/>
      <w:lvlJc w:val="left"/>
      <w:pPr>
        <w:ind w:left="631" w:hanging="420"/>
      </w:pPr>
    </w:lvl>
    <w:lvl w:ilvl="1" w:tentative="0">
      <w:start w:val="1"/>
      <w:numFmt w:val="lowerLetter"/>
      <w:lvlText w:val="%2)"/>
      <w:lvlJc w:val="left"/>
      <w:pPr>
        <w:ind w:left="1051" w:hanging="420"/>
      </w:pPr>
    </w:lvl>
    <w:lvl w:ilvl="2" w:tentative="0">
      <w:start w:val="1"/>
      <w:numFmt w:val="lowerRoman"/>
      <w:lvlText w:val="%3."/>
      <w:lvlJc w:val="right"/>
      <w:pPr>
        <w:ind w:left="1471" w:hanging="420"/>
      </w:pPr>
    </w:lvl>
    <w:lvl w:ilvl="3" w:tentative="0">
      <w:start w:val="1"/>
      <w:numFmt w:val="decimal"/>
      <w:lvlText w:val="%4."/>
      <w:lvlJc w:val="left"/>
      <w:pPr>
        <w:ind w:left="1891" w:hanging="420"/>
      </w:pPr>
    </w:lvl>
    <w:lvl w:ilvl="4" w:tentative="0">
      <w:start w:val="1"/>
      <w:numFmt w:val="lowerLetter"/>
      <w:lvlText w:val="%5)"/>
      <w:lvlJc w:val="left"/>
      <w:pPr>
        <w:ind w:left="2311" w:hanging="420"/>
      </w:pPr>
    </w:lvl>
    <w:lvl w:ilvl="5" w:tentative="0">
      <w:start w:val="1"/>
      <w:numFmt w:val="lowerRoman"/>
      <w:lvlText w:val="%6."/>
      <w:lvlJc w:val="right"/>
      <w:pPr>
        <w:ind w:left="2731" w:hanging="420"/>
      </w:pPr>
    </w:lvl>
    <w:lvl w:ilvl="6" w:tentative="0">
      <w:start w:val="1"/>
      <w:numFmt w:val="decimal"/>
      <w:lvlText w:val="%7."/>
      <w:lvlJc w:val="left"/>
      <w:pPr>
        <w:ind w:left="3151" w:hanging="420"/>
      </w:pPr>
    </w:lvl>
    <w:lvl w:ilvl="7" w:tentative="0">
      <w:start w:val="1"/>
      <w:numFmt w:val="lowerLetter"/>
      <w:lvlText w:val="%8)"/>
      <w:lvlJc w:val="left"/>
      <w:pPr>
        <w:ind w:left="3571" w:hanging="420"/>
      </w:pPr>
    </w:lvl>
    <w:lvl w:ilvl="8" w:tentative="0">
      <w:start w:val="1"/>
      <w:numFmt w:val="lowerRoman"/>
      <w:lvlText w:val="%9."/>
      <w:lvlJc w:val="right"/>
      <w:pPr>
        <w:ind w:left="3991" w:hanging="420"/>
      </w:pPr>
    </w:lvl>
  </w:abstractNum>
  <w:abstractNum w:abstractNumId="20">
    <w:nsid w:val="58477123"/>
    <w:multiLevelType w:val="multilevel"/>
    <w:tmpl w:val="58477123"/>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1" w:hanging="851"/>
      </w:pPr>
      <w:rPr>
        <w:rFonts w:hint="default"/>
      </w:rPr>
    </w:lvl>
    <w:lvl w:ilvl="4" w:tentative="0">
      <w:start w:val="1"/>
      <w:numFmt w:val="decimal"/>
      <w:lvlText w:val="%1.%2.%3.%4.%5."/>
      <w:lvlJc w:val="left"/>
      <w:pPr>
        <w:ind w:left="992" w:hanging="992"/>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6" w:hanging="1276"/>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9" w:hanging="1559"/>
      </w:pPr>
      <w:rPr>
        <w:rFonts w:hint="default"/>
      </w:rPr>
    </w:lvl>
  </w:abstractNum>
  <w:abstractNum w:abstractNumId="21">
    <w:nsid w:val="58998BD0"/>
    <w:multiLevelType w:val="singleLevel"/>
    <w:tmpl w:val="58998BD0"/>
    <w:lvl w:ilvl="0" w:tentative="0">
      <w:start w:val="2"/>
      <w:numFmt w:val="chineseCounting"/>
      <w:suff w:val="space"/>
      <w:lvlText w:val="第%1章"/>
      <w:lvlJc w:val="left"/>
    </w:lvl>
  </w:abstractNum>
  <w:abstractNum w:abstractNumId="22">
    <w:nsid w:val="5A043BCF"/>
    <w:multiLevelType w:val="singleLevel"/>
    <w:tmpl w:val="5A043BCF"/>
    <w:lvl w:ilvl="0" w:tentative="0">
      <w:start w:val="18"/>
      <w:numFmt w:val="decimal"/>
      <w:lvlText w:val="%1."/>
      <w:lvlJc w:val="left"/>
      <w:pPr>
        <w:tabs>
          <w:tab w:val="left" w:pos="312"/>
        </w:tabs>
      </w:pPr>
    </w:lvl>
  </w:abstractNum>
  <w:abstractNum w:abstractNumId="23">
    <w:nsid w:val="63061A95"/>
    <w:multiLevelType w:val="multilevel"/>
    <w:tmpl w:val="63061A95"/>
    <w:lvl w:ilvl="0" w:tentative="0">
      <w:start w:val="1"/>
      <w:numFmt w:val="decimal"/>
      <w:lvlText w:val="%1."/>
      <w:lvlJc w:val="left"/>
      <w:pPr>
        <w:ind w:left="631" w:hanging="420"/>
      </w:pPr>
    </w:lvl>
    <w:lvl w:ilvl="1" w:tentative="0">
      <w:start w:val="1"/>
      <w:numFmt w:val="lowerLetter"/>
      <w:lvlText w:val="%2)"/>
      <w:lvlJc w:val="left"/>
      <w:pPr>
        <w:ind w:left="1051" w:hanging="420"/>
      </w:pPr>
    </w:lvl>
    <w:lvl w:ilvl="2" w:tentative="0">
      <w:start w:val="1"/>
      <w:numFmt w:val="lowerRoman"/>
      <w:lvlText w:val="%3."/>
      <w:lvlJc w:val="right"/>
      <w:pPr>
        <w:ind w:left="1471" w:hanging="420"/>
      </w:pPr>
    </w:lvl>
    <w:lvl w:ilvl="3" w:tentative="0">
      <w:start w:val="1"/>
      <w:numFmt w:val="decimal"/>
      <w:lvlText w:val="%4."/>
      <w:lvlJc w:val="left"/>
      <w:pPr>
        <w:ind w:left="1891" w:hanging="420"/>
      </w:pPr>
    </w:lvl>
    <w:lvl w:ilvl="4" w:tentative="0">
      <w:start w:val="1"/>
      <w:numFmt w:val="lowerLetter"/>
      <w:lvlText w:val="%5)"/>
      <w:lvlJc w:val="left"/>
      <w:pPr>
        <w:ind w:left="2311" w:hanging="420"/>
      </w:pPr>
    </w:lvl>
    <w:lvl w:ilvl="5" w:tentative="0">
      <w:start w:val="1"/>
      <w:numFmt w:val="lowerRoman"/>
      <w:lvlText w:val="%6."/>
      <w:lvlJc w:val="right"/>
      <w:pPr>
        <w:ind w:left="2731" w:hanging="420"/>
      </w:pPr>
    </w:lvl>
    <w:lvl w:ilvl="6" w:tentative="0">
      <w:start w:val="1"/>
      <w:numFmt w:val="decimal"/>
      <w:lvlText w:val="%7."/>
      <w:lvlJc w:val="left"/>
      <w:pPr>
        <w:ind w:left="3151" w:hanging="420"/>
      </w:pPr>
    </w:lvl>
    <w:lvl w:ilvl="7" w:tentative="0">
      <w:start w:val="1"/>
      <w:numFmt w:val="lowerLetter"/>
      <w:lvlText w:val="%8)"/>
      <w:lvlJc w:val="left"/>
      <w:pPr>
        <w:ind w:left="3571" w:hanging="420"/>
      </w:pPr>
    </w:lvl>
    <w:lvl w:ilvl="8" w:tentative="0">
      <w:start w:val="1"/>
      <w:numFmt w:val="lowerRoman"/>
      <w:lvlText w:val="%9."/>
      <w:lvlJc w:val="right"/>
      <w:pPr>
        <w:ind w:left="3991" w:hanging="420"/>
      </w:pPr>
    </w:lvl>
  </w:abstractNum>
  <w:abstractNum w:abstractNumId="24">
    <w:nsid w:val="649385E4"/>
    <w:multiLevelType w:val="singleLevel"/>
    <w:tmpl w:val="649385E4"/>
    <w:lvl w:ilvl="0" w:tentative="0">
      <w:start w:val="1"/>
      <w:numFmt w:val="chineseCounting"/>
      <w:suff w:val="nothing"/>
      <w:lvlText w:val="%1、"/>
      <w:lvlJc w:val="left"/>
      <w:rPr>
        <w:rFonts w:hint="eastAsia"/>
      </w:rPr>
    </w:lvl>
  </w:abstractNum>
  <w:abstractNum w:abstractNumId="25">
    <w:nsid w:val="70BC2DB2"/>
    <w:multiLevelType w:val="multilevel"/>
    <w:tmpl w:val="70BC2DB2"/>
    <w:lvl w:ilvl="0" w:tentative="0">
      <w:start w:val="1"/>
      <w:numFmt w:val="decimal"/>
      <w:lvlText w:val="%1."/>
      <w:lvlJc w:val="left"/>
      <w:pPr>
        <w:ind w:left="631" w:hanging="420"/>
      </w:pPr>
    </w:lvl>
    <w:lvl w:ilvl="1" w:tentative="0">
      <w:start w:val="1"/>
      <w:numFmt w:val="lowerLetter"/>
      <w:lvlText w:val="%2)"/>
      <w:lvlJc w:val="left"/>
      <w:pPr>
        <w:ind w:left="1051" w:hanging="420"/>
      </w:pPr>
    </w:lvl>
    <w:lvl w:ilvl="2" w:tentative="0">
      <w:start w:val="1"/>
      <w:numFmt w:val="lowerRoman"/>
      <w:lvlText w:val="%3."/>
      <w:lvlJc w:val="right"/>
      <w:pPr>
        <w:ind w:left="1471" w:hanging="420"/>
      </w:pPr>
    </w:lvl>
    <w:lvl w:ilvl="3" w:tentative="0">
      <w:start w:val="1"/>
      <w:numFmt w:val="decimal"/>
      <w:lvlText w:val="%4."/>
      <w:lvlJc w:val="left"/>
      <w:pPr>
        <w:ind w:left="1891" w:hanging="420"/>
      </w:pPr>
    </w:lvl>
    <w:lvl w:ilvl="4" w:tentative="0">
      <w:start w:val="1"/>
      <w:numFmt w:val="lowerLetter"/>
      <w:lvlText w:val="%5)"/>
      <w:lvlJc w:val="left"/>
      <w:pPr>
        <w:ind w:left="2311" w:hanging="420"/>
      </w:pPr>
    </w:lvl>
    <w:lvl w:ilvl="5" w:tentative="0">
      <w:start w:val="1"/>
      <w:numFmt w:val="lowerRoman"/>
      <w:lvlText w:val="%6."/>
      <w:lvlJc w:val="right"/>
      <w:pPr>
        <w:ind w:left="2731" w:hanging="420"/>
      </w:pPr>
    </w:lvl>
    <w:lvl w:ilvl="6" w:tentative="0">
      <w:start w:val="1"/>
      <w:numFmt w:val="decimal"/>
      <w:lvlText w:val="%7."/>
      <w:lvlJc w:val="left"/>
      <w:pPr>
        <w:ind w:left="3151" w:hanging="420"/>
      </w:pPr>
    </w:lvl>
    <w:lvl w:ilvl="7" w:tentative="0">
      <w:start w:val="1"/>
      <w:numFmt w:val="lowerLetter"/>
      <w:lvlText w:val="%8)"/>
      <w:lvlJc w:val="left"/>
      <w:pPr>
        <w:ind w:left="3571" w:hanging="420"/>
      </w:pPr>
    </w:lvl>
    <w:lvl w:ilvl="8" w:tentative="0">
      <w:start w:val="1"/>
      <w:numFmt w:val="lowerRoman"/>
      <w:lvlText w:val="%9."/>
      <w:lvlJc w:val="right"/>
      <w:pPr>
        <w:ind w:left="3991" w:hanging="420"/>
      </w:pPr>
    </w:lvl>
  </w:abstractNum>
  <w:abstractNum w:abstractNumId="26">
    <w:nsid w:val="71C0C809"/>
    <w:multiLevelType w:val="singleLevel"/>
    <w:tmpl w:val="71C0C809"/>
    <w:lvl w:ilvl="0" w:tentative="0">
      <w:start w:val="1"/>
      <w:numFmt w:val="decimal"/>
      <w:suff w:val="nothing"/>
      <w:lvlText w:val="%1、"/>
      <w:lvlJc w:val="left"/>
    </w:lvl>
  </w:abstractNum>
  <w:abstractNum w:abstractNumId="27">
    <w:nsid w:val="783D1132"/>
    <w:multiLevelType w:val="multilevel"/>
    <w:tmpl w:val="783D1132"/>
    <w:lvl w:ilvl="0" w:tentative="0">
      <w:start w:val="1"/>
      <w:numFmt w:val="decimal"/>
      <w:lvlText w:val="%1."/>
      <w:lvlJc w:val="left"/>
      <w:pPr>
        <w:ind w:left="631" w:hanging="420"/>
      </w:pPr>
    </w:lvl>
    <w:lvl w:ilvl="1" w:tentative="0">
      <w:start w:val="1"/>
      <w:numFmt w:val="decimal"/>
      <w:isLgl/>
      <w:lvlText w:val="%1.%2"/>
      <w:lvlJc w:val="left"/>
      <w:pPr>
        <w:ind w:left="571" w:hanging="360"/>
      </w:pPr>
      <w:rPr>
        <w:rFonts w:hint="default"/>
      </w:rPr>
    </w:lvl>
    <w:lvl w:ilvl="2" w:tentative="0">
      <w:start w:val="1"/>
      <w:numFmt w:val="decimal"/>
      <w:isLgl/>
      <w:lvlText w:val="%1.%2.%3"/>
      <w:lvlJc w:val="left"/>
      <w:pPr>
        <w:ind w:left="931" w:hanging="720"/>
      </w:pPr>
      <w:rPr>
        <w:rFonts w:hint="default"/>
      </w:rPr>
    </w:lvl>
    <w:lvl w:ilvl="3" w:tentative="0">
      <w:start w:val="1"/>
      <w:numFmt w:val="decimal"/>
      <w:isLgl/>
      <w:lvlText w:val="%1.%2.%3.%4"/>
      <w:lvlJc w:val="left"/>
      <w:pPr>
        <w:ind w:left="1291" w:hanging="1080"/>
      </w:pPr>
      <w:rPr>
        <w:rFonts w:hint="default"/>
      </w:rPr>
    </w:lvl>
    <w:lvl w:ilvl="4" w:tentative="0">
      <w:start w:val="1"/>
      <w:numFmt w:val="decimal"/>
      <w:isLgl/>
      <w:lvlText w:val="%1.%2.%3.%4.%5"/>
      <w:lvlJc w:val="left"/>
      <w:pPr>
        <w:ind w:left="1291" w:hanging="1080"/>
      </w:pPr>
      <w:rPr>
        <w:rFonts w:hint="default"/>
      </w:rPr>
    </w:lvl>
    <w:lvl w:ilvl="5" w:tentative="0">
      <w:start w:val="1"/>
      <w:numFmt w:val="decimal"/>
      <w:isLgl/>
      <w:lvlText w:val="%1.%2.%3.%4.%5.%6"/>
      <w:lvlJc w:val="left"/>
      <w:pPr>
        <w:ind w:left="1651" w:hanging="1440"/>
      </w:pPr>
      <w:rPr>
        <w:rFonts w:hint="default"/>
      </w:rPr>
    </w:lvl>
    <w:lvl w:ilvl="6" w:tentative="0">
      <w:start w:val="1"/>
      <w:numFmt w:val="decimal"/>
      <w:isLgl/>
      <w:lvlText w:val="%1.%2.%3.%4.%5.%6.%7"/>
      <w:lvlJc w:val="left"/>
      <w:pPr>
        <w:ind w:left="1651" w:hanging="1440"/>
      </w:pPr>
      <w:rPr>
        <w:rFonts w:hint="default"/>
      </w:rPr>
    </w:lvl>
    <w:lvl w:ilvl="7" w:tentative="0">
      <w:start w:val="1"/>
      <w:numFmt w:val="decimal"/>
      <w:isLgl/>
      <w:lvlText w:val="%1.%2.%3.%4.%5.%6.%7.%8"/>
      <w:lvlJc w:val="left"/>
      <w:pPr>
        <w:ind w:left="2011" w:hanging="1800"/>
      </w:pPr>
      <w:rPr>
        <w:rFonts w:hint="default"/>
      </w:rPr>
    </w:lvl>
    <w:lvl w:ilvl="8" w:tentative="0">
      <w:start w:val="1"/>
      <w:numFmt w:val="decimal"/>
      <w:isLgl/>
      <w:lvlText w:val="%1.%2.%3.%4.%5.%6.%7.%8.%9"/>
      <w:lvlJc w:val="left"/>
      <w:pPr>
        <w:ind w:left="2011" w:hanging="1800"/>
      </w:pPr>
      <w:rPr>
        <w:rFonts w:hint="default"/>
      </w:rPr>
    </w:lvl>
  </w:abstractNum>
  <w:abstractNum w:abstractNumId="28">
    <w:nsid w:val="7A76620D"/>
    <w:multiLevelType w:val="multilevel"/>
    <w:tmpl w:val="7A76620D"/>
    <w:lvl w:ilvl="0" w:tentative="0">
      <w:start w:val="1"/>
      <w:numFmt w:val="decimal"/>
      <w:lvlText w:val="%1."/>
      <w:lvlJc w:val="left"/>
      <w:pPr>
        <w:ind w:left="631" w:hanging="420"/>
      </w:pPr>
    </w:lvl>
    <w:lvl w:ilvl="1" w:tentative="0">
      <w:start w:val="1"/>
      <w:numFmt w:val="lowerLetter"/>
      <w:lvlText w:val="%2)"/>
      <w:lvlJc w:val="left"/>
      <w:pPr>
        <w:ind w:left="1051" w:hanging="420"/>
      </w:pPr>
    </w:lvl>
    <w:lvl w:ilvl="2" w:tentative="0">
      <w:start w:val="1"/>
      <w:numFmt w:val="lowerRoman"/>
      <w:lvlText w:val="%3."/>
      <w:lvlJc w:val="right"/>
      <w:pPr>
        <w:ind w:left="1471" w:hanging="420"/>
      </w:pPr>
    </w:lvl>
    <w:lvl w:ilvl="3" w:tentative="0">
      <w:start w:val="1"/>
      <w:numFmt w:val="decimal"/>
      <w:lvlText w:val="%4."/>
      <w:lvlJc w:val="left"/>
      <w:pPr>
        <w:ind w:left="1891" w:hanging="420"/>
      </w:pPr>
    </w:lvl>
    <w:lvl w:ilvl="4" w:tentative="0">
      <w:start w:val="1"/>
      <w:numFmt w:val="lowerLetter"/>
      <w:lvlText w:val="%5)"/>
      <w:lvlJc w:val="left"/>
      <w:pPr>
        <w:ind w:left="2311" w:hanging="420"/>
      </w:pPr>
    </w:lvl>
    <w:lvl w:ilvl="5" w:tentative="0">
      <w:start w:val="1"/>
      <w:numFmt w:val="lowerRoman"/>
      <w:lvlText w:val="%6."/>
      <w:lvlJc w:val="right"/>
      <w:pPr>
        <w:ind w:left="2731" w:hanging="420"/>
      </w:pPr>
    </w:lvl>
    <w:lvl w:ilvl="6" w:tentative="0">
      <w:start w:val="1"/>
      <w:numFmt w:val="decimal"/>
      <w:lvlText w:val="%7."/>
      <w:lvlJc w:val="left"/>
      <w:pPr>
        <w:ind w:left="3151" w:hanging="420"/>
      </w:pPr>
    </w:lvl>
    <w:lvl w:ilvl="7" w:tentative="0">
      <w:start w:val="1"/>
      <w:numFmt w:val="lowerLetter"/>
      <w:lvlText w:val="%8)"/>
      <w:lvlJc w:val="left"/>
      <w:pPr>
        <w:ind w:left="3571" w:hanging="420"/>
      </w:pPr>
    </w:lvl>
    <w:lvl w:ilvl="8" w:tentative="0">
      <w:start w:val="1"/>
      <w:numFmt w:val="lowerRoman"/>
      <w:lvlText w:val="%9."/>
      <w:lvlJc w:val="right"/>
      <w:pPr>
        <w:ind w:left="3991" w:hanging="420"/>
      </w:pPr>
    </w:lvl>
  </w:abstractNum>
  <w:num w:numId="1">
    <w:abstractNumId w:val="2"/>
  </w:num>
  <w:num w:numId="2">
    <w:abstractNumId w:val="6"/>
  </w:num>
  <w:num w:numId="3">
    <w:abstractNumId w:val="1"/>
  </w:num>
  <w:num w:numId="4">
    <w:abstractNumId w:val="21"/>
  </w:num>
  <w:num w:numId="5">
    <w:abstractNumId w:val="4"/>
  </w:num>
  <w:num w:numId="6">
    <w:abstractNumId w:val="5"/>
  </w:num>
  <w:num w:numId="7">
    <w:abstractNumId w:val="3"/>
  </w:num>
  <w:num w:numId="8">
    <w:abstractNumId w:val="0"/>
  </w:num>
  <w:num w:numId="9">
    <w:abstractNumId w:val="26"/>
  </w:num>
  <w:num w:numId="10">
    <w:abstractNumId w:val="22"/>
  </w:num>
  <w:num w:numId="11">
    <w:abstractNumId w:val="12"/>
  </w:num>
  <w:num w:numId="12">
    <w:abstractNumId w:val="18"/>
  </w:num>
  <w:num w:numId="13">
    <w:abstractNumId w:val="23"/>
  </w:num>
  <w:num w:numId="14">
    <w:abstractNumId w:val="14"/>
  </w:num>
  <w:num w:numId="15">
    <w:abstractNumId w:val="25"/>
  </w:num>
  <w:num w:numId="16">
    <w:abstractNumId w:val="15"/>
  </w:num>
  <w:num w:numId="17">
    <w:abstractNumId w:val="10"/>
  </w:num>
  <w:num w:numId="18">
    <w:abstractNumId w:val="19"/>
  </w:num>
  <w:num w:numId="19">
    <w:abstractNumId w:val="16"/>
  </w:num>
  <w:num w:numId="20">
    <w:abstractNumId w:val="27"/>
  </w:num>
  <w:num w:numId="21">
    <w:abstractNumId w:val="17"/>
  </w:num>
  <w:num w:numId="22">
    <w:abstractNumId w:val="13"/>
  </w:num>
  <w:num w:numId="23">
    <w:abstractNumId w:val="28"/>
  </w:num>
  <w:num w:numId="24">
    <w:abstractNumId w:val="8"/>
  </w:num>
  <w:num w:numId="25">
    <w:abstractNumId w:val="20"/>
  </w:num>
  <w:num w:numId="26">
    <w:abstractNumId w:val="9"/>
  </w:num>
  <w:num w:numId="27">
    <w:abstractNumId w:val="11"/>
  </w:num>
  <w:num w:numId="28">
    <w:abstractNumId w:val="24"/>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A3ODkyYmIzZGVhMDc4ZjgzMjE0MjMzODg4NTM3MzgifQ=="/>
  </w:docVars>
  <w:rsids>
    <w:rsidRoot w:val="74C30F87"/>
    <w:rsid w:val="00021FBE"/>
    <w:rsid w:val="00057524"/>
    <w:rsid w:val="000A11BE"/>
    <w:rsid w:val="000E34E5"/>
    <w:rsid w:val="001239C2"/>
    <w:rsid w:val="0014769E"/>
    <w:rsid w:val="0017229C"/>
    <w:rsid w:val="00184567"/>
    <w:rsid w:val="00196D9A"/>
    <w:rsid w:val="001B6C17"/>
    <w:rsid w:val="002174D4"/>
    <w:rsid w:val="00276DDD"/>
    <w:rsid w:val="00305332"/>
    <w:rsid w:val="00336FBC"/>
    <w:rsid w:val="00356CC8"/>
    <w:rsid w:val="003B553C"/>
    <w:rsid w:val="003C7CF0"/>
    <w:rsid w:val="003E1AB3"/>
    <w:rsid w:val="003E409C"/>
    <w:rsid w:val="00425E73"/>
    <w:rsid w:val="004548D6"/>
    <w:rsid w:val="0046015A"/>
    <w:rsid w:val="0047526A"/>
    <w:rsid w:val="0048163E"/>
    <w:rsid w:val="004A3FFC"/>
    <w:rsid w:val="004B2804"/>
    <w:rsid w:val="005200CD"/>
    <w:rsid w:val="005771DA"/>
    <w:rsid w:val="00582183"/>
    <w:rsid w:val="005F20B6"/>
    <w:rsid w:val="00611564"/>
    <w:rsid w:val="0063143F"/>
    <w:rsid w:val="0065671F"/>
    <w:rsid w:val="0067076D"/>
    <w:rsid w:val="00677905"/>
    <w:rsid w:val="006B3784"/>
    <w:rsid w:val="006F4AAA"/>
    <w:rsid w:val="00703B6B"/>
    <w:rsid w:val="0071455F"/>
    <w:rsid w:val="00734CAD"/>
    <w:rsid w:val="0075114A"/>
    <w:rsid w:val="00773988"/>
    <w:rsid w:val="007D217B"/>
    <w:rsid w:val="0084060C"/>
    <w:rsid w:val="0084315A"/>
    <w:rsid w:val="0084500F"/>
    <w:rsid w:val="0085410A"/>
    <w:rsid w:val="00865CCF"/>
    <w:rsid w:val="00910A0D"/>
    <w:rsid w:val="0096243C"/>
    <w:rsid w:val="00964587"/>
    <w:rsid w:val="009D33C9"/>
    <w:rsid w:val="00A573E8"/>
    <w:rsid w:val="00A57691"/>
    <w:rsid w:val="00A64BF2"/>
    <w:rsid w:val="00A90F7C"/>
    <w:rsid w:val="00B12B9C"/>
    <w:rsid w:val="00B450AD"/>
    <w:rsid w:val="00B46468"/>
    <w:rsid w:val="00B51C42"/>
    <w:rsid w:val="00B74A63"/>
    <w:rsid w:val="00BE782F"/>
    <w:rsid w:val="00C21490"/>
    <w:rsid w:val="00C31F15"/>
    <w:rsid w:val="00C409DD"/>
    <w:rsid w:val="00C60C22"/>
    <w:rsid w:val="00CE6961"/>
    <w:rsid w:val="00CF6FBF"/>
    <w:rsid w:val="00D1132F"/>
    <w:rsid w:val="00D87961"/>
    <w:rsid w:val="00DA75F3"/>
    <w:rsid w:val="00DE62B5"/>
    <w:rsid w:val="00E05464"/>
    <w:rsid w:val="00E07BA0"/>
    <w:rsid w:val="00E779BB"/>
    <w:rsid w:val="00E9479A"/>
    <w:rsid w:val="00E9608E"/>
    <w:rsid w:val="00EB46BC"/>
    <w:rsid w:val="00ED50D9"/>
    <w:rsid w:val="00EE4B2F"/>
    <w:rsid w:val="00F163A7"/>
    <w:rsid w:val="00FD3D4C"/>
    <w:rsid w:val="00FD53CA"/>
    <w:rsid w:val="01804A59"/>
    <w:rsid w:val="01BE56E0"/>
    <w:rsid w:val="01FE18DE"/>
    <w:rsid w:val="021E1C2D"/>
    <w:rsid w:val="02F445B1"/>
    <w:rsid w:val="03EA2050"/>
    <w:rsid w:val="046238AD"/>
    <w:rsid w:val="0475016D"/>
    <w:rsid w:val="049D4E18"/>
    <w:rsid w:val="051B4EA1"/>
    <w:rsid w:val="06AA0C85"/>
    <w:rsid w:val="07EA4488"/>
    <w:rsid w:val="07F910B5"/>
    <w:rsid w:val="08085671"/>
    <w:rsid w:val="094F1627"/>
    <w:rsid w:val="0A477ECD"/>
    <w:rsid w:val="0CC06F69"/>
    <w:rsid w:val="0D450251"/>
    <w:rsid w:val="0E356120"/>
    <w:rsid w:val="0E993D0C"/>
    <w:rsid w:val="0ED43100"/>
    <w:rsid w:val="104D43A1"/>
    <w:rsid w:val="105A3889"/>
    <w:rsid w:val="10CA743E"/>
    <w:rsid w:val="13170194"/>
    <w:rsid w:val="13A16113"/>
    <w:rsid w:val="148A5D72"/>
    <w:rsid w:val="14C434C6"/>
    <w:rsid w:val="16AF0FD8"/>
    <w:rsid w:val="16C77ECC"/>
    <w:rsid w:val="17336D1C"/>
    <w:rsid w:val="17AA3E15"/>
    <w:rsid w:val="17B5184A"/>
    <w:rsid w:val="18525DF2"/>
    <w:rsid w:val="18A0090C"/>
    <w:rsid w:val="1931408B"/>
    <w:rsid w:val="19711EFD"/>
    <w:rsid w:val="19926C12"/>
    <w:rsid w:val="1A076C77"/>
    <w:rsid w:val="1A490999"/>
    <w:rsid w:val="1B501716"/>
    <w:rsid w:val="1B727234"/>
    <w:rsid w:val="1C546FE5"/>
    <w:rsid w:val="1D3B6F0E"/>
    <w:rsid w:val="1E2E3FC6"/>
    <w:rsid w:val="1E4A3359"/>
    <w:rsid w:val="1EFD7FE8"/>
    <w:rsid w:val="1F9253D0"/>
    <w:rsid w:val="205568FD"/>
    <w:rsid w:val="21156B08"/>
    <w:rsid w:val="212A6F0E"/>
    <w:rsid w:val="21472628"/>
    <w:rsid w:val="223F2969"/>
    <w:rsid w:val="226D2E01"/>
    <w:rsid w:val="23C87E61"/>
    <w:rsid w:val="23F32A04"/>
    <w:rsid w:val="24E3037C"/>
    <w:rsid w:val="26357304"/>
    <w:rsid w:val="26A84860"/>
    <w:rsid w:val="27541A82"/>
    <w:rsid w:val="27C61D1B"/>
    <w:rsid w:val="27CC5B3D"/>
    <w:rsid w:val="282F4B32"/>
    <w:rsid w:val="28735DB6"/>
    <w:rsid w:val="287B65B7"/>
    <w:rsid w:val="29F55E10"/>
    <w:rsid w:val="2A0E6DE9"/>
    <w:rsid w:val="2A3944AB"/>
    <w:rsid w:val="2A53215E"/>
    <w:rsid w:val="2B031CDE"/>
    <w:rsid w:val="2BA86AEF"/>
    <w:rsid w:val="2D2530A5"/>
    <w:rsid w:val="2D8D12D2"/>
    <w:rsid w:val="31664E4F"/>
    <w:rsid w:val="317000AF"/>
    <w:rsid w:val="32644AF0"/>
    <w:rsid w:val="32A609FD"/>
    <w:rsid w:val="32FE5B04"/>
    <w:rsid w:val="33567D64"/>
    <w:rsid w:val="33EC7200"/>
    <w:rsid w:val="348C0391"/>
    <w:rsid w:val="36165C0F"/>
    <w:rsid w:val="36320055"/>
    <w:rsid w:val="371E6E81"/>
    <w:rsid w:val="378F64B9"/>
    <w:rsid w:val="38E7123D"/>
    <w:rsid w:val="390E0C5F"/>
    <w:rsid w:val="39A8206F"/>
    <w:rsid w:val="3A5748C6"/>
    <w:rsid w:val="3AB147DF"/>
    <w:rsid w:val="3ADD72BE"/>
    <w:rsid w:val="3B9974F4"/>
    <w:rsid w:val="3C132C78"/>
    <w:rsid w:val="3CEE3C97"/>
    <w:rsid w:val="3D6F2940"/>
    <w:rsid w:val="3E1E7A90"/>
    <w:rsid w:val="3E8E632C"/>
    <w:rsid w:val="3ED05615"/>
    <w:rsid w:val="3F9E10B0"/>
    <w:rsid w:val="404A587B"/>
    <w:rsid w:val="41351E0A"/>
    <w:rsid w:val="4200645B"/>
    <w:rsid w:val="42DB0742"/>
    <w:rsid w:val="431A1904"/>
    <w:rsid w:val="432555A6"/>
    <w:rsid w:val="440139B1"/>
    <w:rsid w:val="457852CB"/>
    <w:rsid w:val="46D97434"/>
    <w:rsid w:val="46FD483B"/>
    <w:rsid w:val="48254EA1"/>
    <w:rsid w:val="49657768"/>
    <w:rsid w:val="49ED5461"/>
    <w:rsid w:val="49F12DF2"/>
    <w:rsid w:val="4E040F3A"/>
    <w:rsid w:val="4EB32B9E"/>
    <w:rsid w:val="4EF04771"/>
    <w:rsid w:val="4FD00291"/>
    <w:rsid w:val="50C555A5"/>
    <w:rsid w:val="51307EF2"/>
    <w:rsid w:val="51CC3F47"/>
    <w:rsid w:val="51F3031B"/>
    <w:rsid w:val="536050E0"/>
    <w:rsid w:val="543C583B"/>
    <w:rsid w:val="54FB56BE"/>
    <w:rsid w:val="5527584B"/>
    <w:rsid w:val="568706E1"/>
    <w:rsid w:val="57AF2CB8"/>
    <w:rsid w:val="57ED4A02"/>
    <w:rsid w:val="589D376F"/>
    <w:rsid w:val="59D46617"/>
    <w:rsid w:val="5A3967E4"/>
    <w:rsid w:val="5B037B04"/>
    <w:rsid w:val="5B5E403D"/>
    <w:rsid w:val="5CC75B2D"/>
    <w:rsid w:val="5CE44415"/>
    <w:rsid w:val="5D32301D"/>
    <w:rsid w:val="5D3A32CE"/>
    <w:rsid w:val="5D462AFE"/>
    <w:rsid w:val="5D4D7062"/>
    <w:rsid w:val="5DF33699"/>
    <w:rsid w:val="5E543AC4"/>
    <w:rsid w:val="5E976174"/>
    <w:rsid w:val="60531CFF"/>
    <w:rsid w:val="60F125CE"/>
    <w:rsid w:val="613A4737"/>
    <w:rsid w:val="615A3AE7"/>
    <w:rsid w:val="61EA4375"/>
    <w:rsid w:val="62E960A5"/>
    <w:rsid w:val="63937E38"/>
    <w:rsid w:val="63B03919"/>
    <w:rsid w:val="63C416EF"/>
    <w:rsid w:val="63E211A0"/>
    <w:rsid w:val="64987335"/>
    <w:rsid w:val="64CF3D12"/>
    <w:rsid w:val="64DF4B81"/>
    <w:rsid w:val="65BD2EB1"/>
    <w:rsid w:val="66481231"/>
    <w:rsid w:val="67732BC2"/>
    <w:rsid w:val="69153874"/>
    <w:rsid w:val="691A7AD8"/>
    <w:rsid w:val="6B997177"/>
    <w:rsid w:val="6BB44CD3"/>
    <w:rsid w:val="6C136D6D"/>
    <w:rsid w:val="6F5A7620"/>
    <w:rsid w:val="6FCA1A2F"/>
    <w:rsid w:val="703E4ED1"/>
    <w:rsid w:val="70574D4C"/>
    <w:rsid w:val="70C55530"/>
    <w:rsid w:val="71462760"/>
    <w:rsid w:val="719132AD"/>
    <w:rsid w:val="71FE1F04"/>
    <w:rsid w:val="73734595"/>
    <w:rsid w:val="73C626E7"/>
    <w:rsid w:val="73E049F2"/>
    <w:rsid w:val="73F87BD9"/>
    <w:rsid w:val="74200C32"/>
    <w:rsid w:val="74C30F87"/>
    <w:rsid w:val="751809AF"/>
    <w:rsid w:val="755D5634"/>
    <w:rsid w:val="760A44C1"/>
    <w:rsid w:val="76D46E88"/>
    <w:rsid w:val="76D552FA"/>
    <w:rsid w:val="775F3697"/>
    <w:rsid w:val="77F5717A"/>
    <w:rsid w:val="788922D0"/>
    <w:rsid w:val="78A83CA6"/>
    <w:rsid w:val="7AAB39D6"/>
    <w:rsid w:val="7C547886"/>
    <w:rsid w:val="7D17376F"/>
    <w:rsid w:val="7DD1451E"/>
    <w:rsid w:val="7E1626EC"/>
    <w:rsid w:val="7E242B04"/>
    <w:rsid w:val="7E702E36"/>
    <w:rsid w:val="7E93518B"/>
    <w:rsid w:val="7F037D95"/>
    <w:rsid w:val="7F5D6825"/>
    <w:rsid w:val="7F7D56F3"/>
    <w:rsid w:val="7FF822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83" w:firstLineChars="200"/>
      <w:jc w:val="both"/>
    </w:pPr>
    <w:rPr>
      <w:rFonts w:ascii="宋体" w:hAnsi="宋体" w:eastAsia="宋体" w:cs="宋体"/>
      <w:kern w:val="2"/>
      <w:sz w:val="24"/>
      <w:szCs w:val="24"/>
      <w:lang w:val="en-US" w:eastAsia="zh-CN" w:bidi="ar-SA"/>
    </w:rPr>
  </w:style>
  <w:style w:type="paragraph" w:styleId="3">
    <w:name w:val="heading 1"/>
    <w:basedOn w:val="1"/>
    <w:next w:val="1"/>
    <w:qFormat/>
    <w:uiPriority w:val="0"/>
    <w:pPr>
      <w:keepNext/>
      <w:keepLines/>
      <w:spacing w:beforeAutospacing="0" w:line="440" w:lineRule="exact"/>
      <w:ind w:firstLine="0" w:firstLineChars="0"/>
      <w:jc w:val="center"/>
      <w:outlineLvl w:val="0"/>
    </w:pPr>
    <w:rPr>
      <w:b/>
      <w:bCs/>
      <w:kern w:val="44"/>
      <w:sz w:val="30"/>
      <w:szCs w:val="30"/>
    </w:rPr>
  </w:style>
  <w:style w:type="paragraph" w:styleId="4">
    <w:name w:val="heading 2"/>
    <w:basedOn w:val="1"/>
    <w:next w:val="1"/>
    <w:qFormat/>
    <w:uiPriority w:val="0"/>
    <w:pPr>
      <w:keepNext/>
      <w:keepLines/>
      <w:spacing w:line="360" w:lineRule="auto"/>
      <w:outlineLvl w:val="1"/>
    </w:pPr>
    <w:rPr>
      <w:b/>
      <w:sz w:val="28"/>
      <w:szCs w:val="28"/>
    </w:rPr>
  </w:style>
  <w:style w:type="paragraph" w:styleId="5">
    <w:name w:val="heading 3"/>
    <w:basedOn w:val="1"/>
    <w:next w:val="1"/>
    <w:qFormat/>
    <w:uiPriority w:val="0"/>
    <w:pPr>
      <w:keepNext/>
      <w:keepLines/>
      <w:numPr>
        <w:ilvl w:val="2"/>
        <w:numId w:val="1"/>
      </w:numPr>
      <w:adjustRightInd w:val="0"/>
      <w:spacing w:line="440" w:lineRule="exact"/>
      <w:ind w:left="0" w:firstLine="0" w:firstLineChars="0"/>
      <w:textAlignment w:val="baseline"/>
      <w:outlineLvl w:val="2"/>
    </w:pPr>
    <w:rPr>
      <w:b/>
      <w:bCs/>
      <w:kern w:val="0"/>
      <w:sz w:val="24"/>
      <w:szCs w:val="24"/>
    </w:rPr>
  </w:style>
  <w:style w:type="paragraph" w:styleId="6">
    <w:name w:val="heading 4"/>
    <w:basedOn w:val="1"/>
    <w:next w:val="1"/>
    <w:qFormat/>
    <w:uiPriority w:val="1"/>
    <w:pPr>
      <w:outlineLvl w:val="3"/>
    </w:pPr>
    <w:rPr>
      <w:rFonts w:ascii="宋体" w:hAnsi="宋体" w:cs="宋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List 2"/>
    <w:basedOn w:val="1"/>
    <w:qFormat/>
    <w:uiPriority w:val="0"/>
    <w:pPr>
      <w:ind w:left="100" w:leftChars="200" w:hanging="200" w:hangingChars="200"/>
    </w:pPr>
    <w:rPr>
      <w:rFonts w:ascii="Calibri" w:hAnsi="Calibri"/>
      <w:szCs w:val="22"/>
    </w:rPr>
  </w:style>
  <w:style w:type="paragraph" w:styleId="7">
    <w:name w:val="toa heading"/>
    <w:basedOn w:val="1"/>
    <w:next w:val="1"/>
    <w:semiHidden/>
    <w:qFormat/>
    <w:uiPriority w:val="0"/>
    <w:rPr>
      <w:rFonts w:ascii="Arial" w:hAnsi="Arial"/>
      <w:sz w:val="24"/>
    </w:rPr>
  </w:style>
  <w:style w:type="paragraph" w:styleId="8">
    <w:name w:val="Body Text"/>
    <w:basedOn w:val="1"/>
    <w:next w:val="1"/>
    <w:qFormat/>
    <w:uiPriority w:val="0"/>
    <w:rPr>
      <w:sz w:val="24"/>
    </w:rPr>
  </w:style>
  <w:style w:type="paragraph" w:styleId="9">
    <w:name w:val="Body Text Indent"/>
    <w:basedOn w:val="1"/>
    <w:next w:val="10"/>
    <w:qFormat/>
    <w:uiPriority w:val="0"/>
    <w:pPr>
      <w:spacing w:line="420" w:lineRule="exact"/>
      <w:ind w:firstLine="732" w:firstLineChars="300"/>
    </w:pPr>
    <w:rPr>
      <w:spacing w:val="2"/>
      <w:sz w:val="24"/>
      <w:szCs w:val="20"/>
    </w:rPr>
  </w:style>
  <w:style w:type="paragraph" w:customStyle="1" w:styleId="10">
    <w:name w:val="目录 61"/>
    <w:next w:val="1"/>
    <w:qFormat/>
    <w:uiPriority w:val="0"/>
    <w:pPr>
      <w:wordWrap w:val="0"/>
      <w:ind w:left="2125"/>
      <w:jc w:val="both"/>
    </w:pPr>
    <w:rPr>
      <w:rFonts w:ascii="Calibri" w:hAnsi="Calibri" w:eastAsia="宋体" w:cs="Times New Roman"/>
      <w:sz w:val="21"/>
      <w:lang w:val="en-US" w:eastAsia="zh-CN" w:bidi="ar-SA"/>
    </w:rPr>
  </w:style>
  <w:style w:type="paragraph" w:styleId="11">
    <w:name w:val="toc 5"/>
    <w:basedOn w:val="1"/>
    <w:next w:val="1"/>
    <w:qFormat/>
    <w:uiPriority w:val="0"/>
    <w:pPr>
      <w:ind w:left="1680" w:leftChars="800"/>
    </w:pPr>
  </w:style>
  <w:style w:type="paragraph" w:styleId="12">
    <w:name w:val="Plain Text"/>
    <w:basedOn w:val="1"/>
    <w:next w:val="11"/>
    <w:link w:val="40"/>
    <w:qFormat/>
    <w:uiPriority w:val="99"/>
    <w:rPr>
      <w:rFonts w:ascii="宋体" w:hAnsi="Courier New"/>
      <w:szCs w:val="20"/>
    </w:rPr>
  </w:style>
  <w:style w:type="paragraph" w:styleId="13">
    <w:name w:val="Balloon Text"/>
    <w:basedOn w:val="1"/>
    <w:link w:val="39"/>
    <w:qFormat/>
    <w:uiPriority w:val="0"/>
    <w:rPr>
      <w:sz w:val="18"/>
      <w:szCs w:val="18"/>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Body Text 2"/>
    <w:basedOn w:val="1"/>
    <w:qFormat/>
    <w:uiPriority w:val="0"/>
    <w:rPr>
      <w:sz w:val="28"/>
    </w:r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2"/>
    <w:qFormat/>
    <w:uiPriority w:val="0"/>
    <w:pPr>
      <w:jc w:val="left"/>
      <w:outlineLvl w:val="0"/>
    </w:pPr>
    <w:rPr>
      <w:rFonts w:ascii="Arial" w:hAnsi="Arial"/>
      <w:sz w:val="28"/>
    </w:rPr>
  </w:style>
  <w:style w:type="paragraph" w:styleId="20">
    <w:name w:val="Body Text First Indent"/>
    <w:basedOn w:val="8"/>
    <w:next w:val="1"/>
    <w:unhideWhenUsed/>
    <w:qFormat/>
    <w:uiPriority w:val="99"/>
    <w:pPr>
      <w:spacing w:after="120"/>
      <w:ind w:firstLine="420" w:firstLineChars="100"/>
    </w:pPr>
    <w:rPr>
      <w:kern w:val="0"/>
    </w:rPr>
  </w:style>
  <w:style w:type="paragraph" w:styleId="21">
    <w:name w:val="Body Text First Indent 2"/>
    <w:basedOn w:val="9"/>
    <w:next w:val="20"/>
    <w:qFormat/>
    <w:uiPriority w:val="0"/>
    <w:pPr>
      <w:ind w:firstLine="42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FollowedHyperlink"/>
    <w:basedOn w:val="24"/>
    <w:qFormat/>
    <w:uiPriority w:val="0"/>
    <w:rPr>
      <w:color w:val="800080"/>
      <w:u w:val="none"/>
    </w:rPr>
  </w:style>
  <w:style w:type="character" w:styleId="26">
    <w:name w:val="Hyperlink"/>
    <w:basedOn w:val="24"/>
    <w:qFormat/>
    <w:uiPriority w:val="99"/>
    <w:rPr>
      <w:color w:val="0000FF"/>
      <w:u w:val="none"/>
    </w:rPr>
  </w:style>
  <w:style w:type="paragraph" w:customStyle="1" w:styleId="27">
    <w:name w:val="正文格式"/>
    <w:qFormat/>
    <w:uiPriority w:val="0"/>
    <w:pPr>
      <w:spacing w:line="360" w:lineRule="auto"/>
      <w:ind w:firstLine="200" w:firstLineChars="200"/>
    </w:pPr>
    <w:rPr>
      <w:rFonts w:ascii="宋体" w:hAnsi="宋体" w:eastAsia="宋体" w:cs="Times New Roman"/>
      <w:kern w:val="2"/>
      <w:sz w:val="28"/>
      <w:szCs w:val="22"/>
      <w:lang w:val="en-US" w:eastAsia="zh-CN" w:bidi="ar-SA"/>
    </w:rPr>
  </w:style>
  <w:style w:type="paragraph" w:customStyle="1" w:styleId="2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9">
    <w:name w:val="首行缩进"/>
    <w:basedOn w:val="1"/>
    <w:next w:val="1"/>
    <w:qFormat/>
    <w:uiPriority w:val="99"/>
    <w:pPr>
      <w:spacing w:line="360" w:lineRule="auto"/>
      <w:ind w:firstLine="480" w:firstLineChars="200"/>
    </w:pPr>
    <w:rPr>
      <w:rFonts w:ascii="宋体" w:hAnsi="宋体" w:cs="宋体"/>
      <w:kern w:val="0"/>
    </w:rPr>
  </w:style>
  <w:style w:type="paragraph" w:customStyle="1" w:styleId="30">
    <w:name w:val="WPSOffice手动目录 1"/>
    <w:qFormat/>
    <w:uiPriority w:val="0"/>
    <w:rPr>
      <w:rFonts w:ascii="Times New Roman" w:hAnsi="Times New Roman" w:eastAsia="宋体" w:cs="Times New Roman"/>
      <w:lang w:val="en-US" w:eastAsia="zh-CN" w:bidi="ar-SA"/>
    </w:rPr>
  </w:style>
  <w:style w:type="paragraph" w:customStyle="1" w:styleId="31">
    <w:name w:val="Table Paragraph"/>
    <w:basedOn w:val="1"/>
    <w:qFormat/>
    <w:uiPriority w:val="1"/>
    <w:rPr>
      <w:rFonts w:ascii="宋体" w:hAnsi="宋体" w:cs="宋体"/>
      <w:lang w:val="zh-CN" w:bidi="zh-CN"/>
    </w:rPr>
  </w:style>
  <w:style w:type="paragraph" w:customStyle="1" w:styleId="32">
    <w:name w:val="Level 2"/>
    <w:basedOn w:val="1"/>
    <w:qFormat/>
    <w:uiPriority w:val="0"/>
    <w:pPr>
      <w:widowControl/>
      <w:numPr>
        <w:ilvl w:val="1"/>
        <w:numId w:val="1"/>
      </w:numPr>
      <w:tabs>
        <w:tab w:val="left" w:pos="360"/>
        <w:tab w:val="left" w:pos="567"/>
      </w:tabs>
      <w:spacing w:after="140" w:line="288" w:lineRule="auto"/>
    </w:pPr>
    <w:rPr>
      <w:rFonts w:ascii="Arial" w:hAnsi="Arial"/>
      <w:kern w:val="20"/>
      <w:sz w:val="20"/>
      <w:szCs w:val="28"/>
      <w:lang w:val="en-GB" w:eastAsia="en-US"/>
    </w:rPr>
  </w:style>
  <w:style w:type="paragraph" w:customStyle="1" w:styleId="33">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character" w:customStyle="1" w:styleId="34">
    <w:name w:val="font71"/>
    <w:basedOn w:val="24"/>
    <w:qFormat/>
    <w:uiPriority w:val="0"/>
    <w:rPr>
      <w:rFonts w:hint="default" w:ascii="Times New Roman" w:hAnsi="Times New Roman" w:cs="Times New Roman"/>
      <w:color w:val="000000"/>
      <w:sz w:val="20"/>
      <w:szCs w:val="20"/>
      <w:u w:val="none"/>
    </w:rPr>
  </w:style>
  <w:style w:type="character" w:customStyle="1" w:styleId="35">
    <w:name w:val="font111"/>
    <w:basedOn w:val="24"/>
    <w:qFormat/>
    <w:uiPriority w:val="0"/>
    <w:rPr>
      <w:rFonts w:hint="eastAsia" w:ascii="宋体" w:hAnsi="宋体" w:eastAsia="宋体" w:cs="宋体"/>
      <w:b/>
      <w:color w:val="000000"/>
      <w:sz w:val="20"/>
      <w:szCs w:val="20"/>
      <w:u w:val="none"/>
    </w:rPr>
  </w:style>
  <w:style w:type="paragraph" w:styleId="36">
    <w:name w:val="List Paragraph"/>
    <w:basedOn w:val="1"/>
    <w:qFormat/>
    <w:uiPriority w:val="1"/>
    <w:pPr>
      <w:spacing w:before="1"/>
      <w:ind w:left="280" w:firstLine="480"/>
    </w:pPr>
    <w:rPr>
      <w:rFonts w:ascii="宋体" w:hAnsi="宋体" w:cs="宋体"/>
    </w:rPr>
  </w:style>
  <w:style w:type="paragraph" w:customStyle="1" w:styleId="37">
    <w:name w:val="BodyText1I2"/>
    <w:basedOn w:val="38"/>
    <w:next w:val="1"/>
    <w:qFormat/>
    <w:uiPriority w:val="0"/>
    <w:pPr>
      <w:ind w:firstLine="420" w:firstLineChars="200"/>
    </w:pPr>
  </w:style>
  <w:style w:type="paragraph" w:customStyle="1" w:styleId="38">
    <w:name w:val="BodyTextIndent"/>
    <w:basedOn w:val="1"/>
    <w:next w:val="37"/>
    <w:qFormat/>
    <w:uiPriority w:val="0"/>
    <w:pPr>
      <w:spacing w:after="120"/>
      <w:ind w:left="420" w:leftChars="200"/>
    </w:pPr>
    <w:rPr>
      <w:rFonts w:ascii="Calibri" w:hAnsi="Calibri"/>
    </w:rPr>
  </w:style>
  <w:style w:type="character" w:customStyle="1" w:styleId="39">
    <w:name w:val="批注框文本 Char"/>
    <w:basedOn w:val="24"/>
    <w:link w:val="13"/>
    <w:qFormat/>
    <w:uiPriority w:val="0"/>
    <w:rPr>
      <w:kern w:val="2"/>
      <w:sz w:val="18"/>
      <w:szCs w:val="18"/>
    </w:rPr>
  </w:style>
  <w:style w:type="character" w:customStyle="1" w:styleId="40">
    <w:name w:val="纯文本 Char"/>
    <w:basedOn w:val="24"/>
    <w:link w:val="12"/>
    <w:qFormat/>
    <w:uiPriority w:val="99"/>
    <w:rPr>
      <w:rFonts w:ascii="宋体" w:hAnsi="Courier New"/>
      <w:kern w:val="2"/>
      <w:sz w:val="21"/>
    </w:rPr>
  </w:style>
  <w:style w:type="character" w:customStyle="1" w:styleId="41">
    <w:name w:val="fontstyle01"/>
    <w:qFormat/>
    <w:uiPriority w:val="0"/>
    <w:rPr>
      <w:rFonts w:hint="eastAsia" w:ascii="宋体" w:hAnsi="宋体" w:eastAsia="宋体"/>
      <w:color w:val="000000"/>
      <w:sz w:val="24"/>
      <w:szCs w:val="24"/>
    </w:rPr>
  </w:style>
  <w:style w:type="paragraph" w:customStyle="1" w:styleId="42">
    <w:name w:val="列表段落1"/>
    <w:basedOn w:val="1"/>
    <w:qFormat/>
    <w:uiPriority w:val="34"/>
    <w:pPr>
      <w:ind w:firstLine="420" w:firstLineChars="200"/>
    </w:pPr>
    <w:rPr>
      <w:rFonts w:ascii="宋体" w:hAnsi="Times New Roman" w:eastAsia="宋体" w:cs="Times New Roman"/>
      <w:kern w:val="0"/>
      <w:sz w:val="34"/>
      <w:szCs w:val="20"/>
    </w:rPr>
  </w:style>
  <w:style w:type="character" w:customStyle="1" w:styleId="43">
    <w:name w:val="NormalCharacter"/>
    <w:qFormat/>
    <w:uiPriority w:val="0"/>
    <w:rPr>
      <w:rFonts w:ascii="Calibri" w:hAnsi="Calibri" w:eastAsia="宋体"/>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8"/>
    <customShpInfo spid="_x0000_s1027"/>
    <customShpInfo spid="_x0000_s1030"/>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28264</Words>
  <Characters>30240</Characters>
  <Lines>179</Lines>
  <Paragraphs>50</Paragraphs>
  <TotalTime>13</TotalTime>
  <ScaleCrop>false</ScaleCrop>
  <LinksUpToDate>false</LinksUpToDate>
  <CharactersWithSpaces>31851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2021-10-22T08:06:00Z</dcterms:created>
  <dc:creator></dc:creator>
  <cp:lastModifiedBy>NTKO</cp:lastModifiedBy>
  <cp:lastPrinted>2022-10-31T06:58:00Z</cp:lastPrinted>
  <dcterms:modified xsi:type="dcterms:W3CDTF">2022-11-01T09:29:45Z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50CDAC1A51764F75A9A8965912E32D50</vt:lpwstr>
  </property>
</Properties>
</file>